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1、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投标人须具有独立法人资格，投标人须提供公司营业执照、组织机构代码证、税务登记证或“三证合一”的营业执照复印件。</w:t>
      </w:r>
    </w:p>
    <w:p>
      <w:pPr>
        <w:pStyle w:val="2"/>
        <w:ind w:firstLine="5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投标人</w:t>
      </w:r>
      <w:r>
        <w:rPr>
          <w:rFonts w:hint="eastAsia"/>
          <w:lang w:val="en-US" w:eastAsia="zh-CN"/>
        </w:rPr>
        <w:t>须具备乙级或以上《放射卫生技术服务机构资质证书》，且资质范围满足本院此次检测和评价项目的需求；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  <w:r>
        <w:rPr>
          <w:rFonts w:hint="eastAsia" w:ascii="黑体" w:hAnsi="黑体" w:eastAsia="黑体"/>
          <w:sz w:val="30"/>
          <w:szCs w:val="30"/>
        </w:rPr>
        <w:t>项目内容</w:t>
      </w:r>
    </w:p>
    <w:p>
      <w:pPr>
        <w:pStyle w:val="2"/>
        <w:jc w:val="center"/>
        <w:rPr>
          <w:rFonts w:hint="eastAsia"/>
          <w:lang w:val="en-US" w:eastAsia="zh-CN"/>
        </w:rPr>
      </w:pPr>
    </w:p>
    <w:tbl>
      <w:tblPr>
        <w:tblStyle w:val="10"/>
        <w:tblW w:w="495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384"/>
        <w:gridCol w:w="1003"/>
        <w:gridCol w:w="32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05" w:type="pc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90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1</w:t>
            </w:r>
          </w:p>
        </w:tc>
        <w:tc>
          <w:tcPr>
            <w:tcW w:w="2005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移动式数字化医用Ｘ射线摄影系统</w:t>
            </w:r>
          </w:p>
        </w:tc>
        <w:tc>
          <w:tcPr>
            <w:tcW w:w="594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2</w:t>
            </w:r>
          </w:p>
        </w:tc>
        <w:tc>
          <w:tcPr>
            <w:tcW w:w="1906" w:type="pc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职业病危害放射防护预评价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2</w:t>
            </w:r>
          </w:p>
        </w:tc>
        <w:tc>
          <w:tcPr>
            <w:tcW w:w="2005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</w:p>
        </w:tc>
        <w:tc>
          <w:tcPr>
            <w:tcW w:w="1906" w:type="pc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职业病危害控制效果放射防护评价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3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ＤＳＡ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职业病危害控制效果放射防护评价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4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体外冲击波碎石机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5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ＣＢＣＴ（口腔颌面锥形束计算机体层摄影设备）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6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移动式Ｃ型臂Ｘ射线机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7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多排ＣＴ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restart"/>
            <w:vAlign w:val="center"/>
          </w:tcPr>
          <w:p>
            <w:pPr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放射诊疗设备年度检测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94" w:type="pct"/>
            <w:vAlign w:val="center"/>
          </w:tcPr>
          <w:p>
            <w:pPr>
              <w:spacing w:line="220" w:lineRule="atLeast"/>
              <w:jc w:val="center"/>
              <w:rPr>
                <w:rFonts w:ascii="Calibri" w:hAnsi="Calibri" w:eastAsia="微软雅黑" w:cs="Calibri"/>
                <w:bCs/>
                <w:color w:val="000000"/>
                <w:szCs w:val="22"/>
              </w:rPr>
            </w:pPr>
            <w:r>
              <w:rPr>
                <w:rFonts w:ascii="Calibri" w:hAnsi="Calibri" w:eastAsia="微软雅黑" w:cs="Calibri"/>
                <w:bCs/>
                <w:color w:val="000000"/>
                <w:szCs w:val="22"/>
              </w:rPr>
              <w:t>8</w:t>
            </w:r>
          </w:p>
        </w:tc>
        <w:tc>
          <w:tcPr>
            <w:tcW w:w="2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cs="宋体"/>
                <w:color w:val="000000"/>
                <w:sz w:val="21"/>
                <w:szCs w:val="21"/>
              </w:rPr>
              <w:t>ＤＲ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szCs w:val="22"/>
              </w:rPr>
              <w:t>1</w:t>
            </w:r>
          </w:p>
        </w:tc>
        <w:tc>
          <w:tcPr>
            <w:tcW w:w="1906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eastAsia="微软雅黑" w:cs="宋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/>
    <w:p>
      <w:pPr>
        <w:jc w:val="left"/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  <w:r>
        <w:rPr>
          <w:rFonts w:hint="eastAsia" w:ascii="黑体" w:hAnsi="黑体" w:eastAsia="黑体"/>
          <w:sz w:val="30"/>
          <w:szCs w:val="30"/>
        </w:rPr>
        <w:t>技术需求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、供应商需具备放射专业检测能力的技术人员，且有放射卫生检测与评价技术培训考核合格证书；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、检测报告技术参数；</w:t>
      </w:r>
    </w:p>
    <w:p>
      <w:pPr>
        <w:spacing w:line="360" w:lineRule="auto"/>
        <w:rPr>
          <w:b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b/>
        </w:rPr>
        <w:t>放射摄影类（符合医用X射线诊断设备质量控制检测规范</w:t>
      </w:r>
      <w:r>
        <w:rPr>
          <w:rFonts w:hint="eastAsia" w:ascii="宋体" w:hAnsi="宋体" w:eastAsia="宋体" w:cs="宋体"/>
          <w:b/>
          <w:color w:val="000000"/>
          <w:szCs w:val="21"/>
        </w:rPr>
        <w:t>WS</w:t>
      </w:r>
      <w:r>
        <w:rPr>
          <w:rFonts w:hint="eastAsia" w:ascii="宋体" w:hAnsi="宋体" w:eastAsia="宋体" w:cs="宋体"/>
          <w:b/>
          <w:szCs w:val="21"/>
        </w:rPr>
        <w:t xml:space="preserve"> 76-2020</w:t>
      </w:r>
      <w:r>
        <w:rPr>
          <w:rFonts w:hint="eastAsia"/>
          <w:b/>
        </w:rPr>
        <w:t>）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管电压指示的偏离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辐射输出量重复性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输出量线性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有用线束半值层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曝光时间指示的偏离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 w:ascii="宋体" w:hAnsi="宋体" w:eastAsia="宋体" w:cs="宋体"/>
        </w:rPr>
        <w:t>AEC</w:t>
      </w:r>
      <w:r>
        <w:rPr>
          <w:rFonts w:hint="eastAsia"/>
        </w:rPr>
        <w:t>重复性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 w:ascii="宋体" w:hAnsi="宋体" w:eastAsia="宋体" w:cs="宋体"/>
        </w:rPr>
        <w:t>AEC</w:t>
      </w:r>
      <w:r>
        <w:rPr>
          <w:rFonts w:hint="eastAsia"/>
        </w:rPr>
        <w:t>响应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 w:ascii="宋体" w:hAnsi="宋体" w:eastAsia="宋体" w:cs="宋体"/>
        </w:rPr>
        <w:t>AEC</w:t>
      </w:r>
      <w:r>
        <w:rPr>
          <w:rFonts w:hint="eastAsia"/>
        </w:rPr>
        <w:t>电离室之间一致性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有用线束垂直度偏离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光野与照射野四边的偏离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探测器剂量指示（</w:t>
      </w:r>
      <w:r>
        <w:rPr>
          <w:rFonts w:hint="eastAsia" w:ascii="宋体" w:hAnsi="宋体" w:eastAsia="宋体" w:cs="宋体"/>
        </w:rPr>
        <w:t>DDI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信号传递特性（</w:t>
      </w:r>
      <w:r>
        <w:rPr>
          <w:rFonts w:hint="eastAsia" w:ascii="宋体" w:hAnsi="宋体" w:eastAsia="宋体" w:cs="宋体"/>
        </w:rPr>
        <w:t>STP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响应均匀性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测距误差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残影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伪影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高对比度分辨力</w:t>
      </w:r>
    </w:p>
    <w:p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低对比度分辨力</w:t>
      </w:r>
    </w:p>
    <w:p>
      <w:pPr>
        <w:jc w:val="left"/>
      </w:pPr>
    </w:p>
    <w:p>
      <w:pPr>
        <w:numPr>
          <w:ilvl w:val="0"/>
          <w:numId w:val="0"/>
        </w:numPr>
        <w:spacing w:line="360" w:lineRule="auto"/>
        <w:rPr>
          <w:b/>
        </w:rPr>
      </w:pP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放射透视类（符合医用X射线诊断设备质量控制检测规范</w:t>
      </w:r>
      <w:r>
        <w:rPr>
          <w:rFonts w:hint="eastAsia" w:ascii="宋体" w:hAnsi="宋体" w:eastAsia="宋体" w:cs="宋体"/>
          <w:b/>
        </w:rPr>
        <w:t>WS 76-2020</w:t>
      </w:r>
      <w:r>
        <w:rPr>
          <w:rFonts w:hint="eastAsia"/>
          <w:b/>
        </w:rPr>
        <w:t>）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透视受检者入射体表空气比释动能率典型值/（</w:t>
      </w:r>
      <w:r>
        <w:rPr>
          <w:rFonts w:hint="eastAsia" w:ascii="宋体" w:hAnsi="宋体" w:eastAsia="宋体" w:cs="宋体"/>
        </w:rPr>
        <w:t>mGy/min</w:t>
      </w:r>
      <w:r>
        <w:rPr>
          <w:rFonts w:hint="eastAsia"/>
        </w:rPr>
        <w:t>）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透视受检者入射体表空气比释动能率最大值/（</w:t>
      </w:r>
      <w:r>
        <w:rPr>
          <w:rFonts w:hint="eastAsia" w:ascii="宋体" w:hAnsi="宋体" w:eastAsia="宋体" w:cs="宋体"/>
        </w:rPr>
        <w:t>mGy/min</w:t>
      </w:r>
      <w:r>
        <w:rPr>
          <w:rFonts w:hint="eastAsia"/>
        </w:rPr>
        <w:t>）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高对比度分辨力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低对比度分辨力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入射屏前空气比释动能率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自动亮度控制</w:t>
      </w:r>
    </w:p>
    <w:p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透视防护区检测平面上周围剂量当量率/（</w:t>
      </w:r>
      <w:r>
        <w:rPr>
          <w:rFonts w:hint="eastAsia" w:ascii="宋体" w:hAnsi="宋体" w:eastAsia="宋体" w:cs="宋体"/>
        </w:rPr>
        <w:t>μSv/h</w:t>
      </w:r>
      <w:r>
        <w:rPr>
          <w:rFonts w:hint="eastAsia"/>
        </w:rPr>
        <w:t>）</w:t>
      </w:r>
    </w:p>
    <w:p>
      <w:pPr>
        <w:spacing w:line="360" w:lineRule="auto"/>
        <w:jc w:val="left"/>
      </w:pPr>
    </w:p>
    <w:p>
      <w:pPr>
        <w:numPr>
          <w:ilvl w:val="0"/>
          <w:numId w:val="0"/>
        </w:numPr>
        <w:spacing w:line="360" w:lineRule="auto"/>
        <w:jc w:val="left"/>
        <w:rPr>
          <w:b/>
        </w:rPr>
      </w:pP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牙科类（符合医用X射线诊断设备质量控制检测规范</w:t>
      </w:r>
      <w:r>
        <w:rPr>
          <w:rFonts w:hint="eastAsia" w:ascii="宋体" w:hAnsi="宋体" w:eastAsia="宋体" w:cs="宋体"/>
          <w:b/>
        </w:rPr>
        <w:t>WS 76-2020</w:t>
      </w:r>
      <w:r>
        <w:rPr>
          <w:rFonts w:hint="eastAsia"/>
          <w:b/>
        </w:rPr>
        <w:t>）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管电压指示的偏离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辐射输出量重复性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曝光时间指示的偏离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有用线束半值层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高对比度分辨力</w:t>
      </w:r>
    </w:p>
    <w:p>
      <w:pPr>
        <w:numPr>
          <w:ilvl w:val="0"/>
          <w:numId w:val="4"/>
        </w:numPr>
        <w:spacing w:line="360" w:lineRule="auto"/>
        <w:jc w:val="left"/>
      </w:pPr>
      <w:r>
        <w:rPr>
          <w:rFonts w:hint="eastAsia"/>
        </w:rPr>
        <w:t>低对比度分辨力</w:t>
      </w:r>
    </w:p>
    <w:p>
      <w:pPr>
        <w:spacing w:line="360" w:lineRule="auto"/>
        <w:jc w:val="left"/>
      </w:pPr>
    </w:p>
    <w:p>
      <w:pPr>
        <w:numPr>
          <w:ilvl w:val="0"/>
          <w:numId w:val="0"/>
        </w:numPr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b/>
          <w:lang w:eastAsia="zh-CN"/>
        </w:rPr>
        <w:t>（</w:t>
      </w:r>
      <w:r>
        <w:rPr>
          <w:rFonts w:hint="eastAsia" w:ascii="宋体" w:hAnsi="宋体" w:eastAsia="宋体" w:cs="宋体"/>
          <w:b/>
          <w:lang w:val="en-US" w:eastAsia="zh-CN"/>
        </w:rPr>
        <w:t>4</w:t>
      </w:r>
      <w:r>
        <w:rPr>
          <w:rFonts w:hint="eastAsia" w:ascii="宋体" w:hAnsi="宋体" w:eastAsia="宋体" w:cs="宋体"/>
          <w:b/>
          <w:lang w:eastAsia="zh-CN"/>
        </w:rPr>
        <w:t>）</w:t>
      </w:r>
      <w:r>
        <w:rPr>
          <w:rFonts w:hint="eastAsia" w:ascii="宋体" w:hAnsi="宋体" w:eastAsia="宋体" w:cs="宋体"/>
          <w:b/>
        </w:rPr>
        <w:t>CT</w:t>
      </w:r>
      <w:r>
        <w:rPr>
          <w:rFonts w:hint="eastAsia"/>
          <w:b/>
        </w:rPr>
        <w:t>类（符合X射线计算机体层摄影装置质量控制检测规范</w:t>
      </w:r>
      <w:r>
        <w:rPr>
          <w:rFonts w:hint="eastAsia" w:ascii="宋体" w:hAnsi="宋体" w:eastAsia="宋体" w:cs="宋体"/>
          <w:b/>
        </w:rPr>
        <w:t xml:space="preserve"> WS 519-2019</w:t>
      </w:r>
      <w:r>
        <w:rPr>
          <w:rFonts w:hint="eastAsia"/>
          <w:b/>
        </w:rPr>
        <w:t>）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诊断床定位精度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定位光精度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扫描架倾角精度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重建层厚偏差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vertAlign w:val="subscript"/>
        </w:rPr>
      </w:pPr>
      <w:r>
        <w:rPr>
          <w:rFonts w:hint="eastAsia" w:ascii="宋体" w:hAnsi="宋体" w:eastAsia="宋体" w:cs="宋体"/>
        </w:rPr>
        <w:t>CTDI</w:t>
      </w:r>
      <w:r>
        <w:rPr>
          <w:rFonts w:hint="eastAsia" w:ascii="宋体" w:hAnsi="宋体" w:eastAsia="宋体" w:cs="宋体"/>
          <w:vertAlign w:val="subscript"/>
        </w:rPr>
        <w:t>w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 w:ascii="宋体" w:hAnsi="宋体" w:eastAsia="宋体" w:cs="宋体"/>
        </w:rPr>
        <w:t>CT</w:t>
      </w:r>
      <w:r>
        <w:rPr>
          <w:rFonts w:hint="eastAsia"/>
        </w:rPr>
        <w:t>值（水）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均匀性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噪声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高对比分辨力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/>
        </w:rPr>
        <w:t>低对比可探测能力</w:t>
      </w:r>
    </w:p>
    <w:p>
      <w:pPr>
        <w:numPr>
          <w:ilvl w:val="0"/>
          <w:numId w:val="5"/>
        </w:numPr>
        <w:spacing w:line="360" w:lineRule="auto"/>
        <w:jc w:val="left"/>
      </w:pPr>
      <w:r>
        <w:rPr>
          <w:rFonts w:hint="eastAsia" w:ascii="宋体" w:hAnsi="宋体" w:eastAsia="宋体" w:cs="宋体"/>
        </w:rPr>
        <w:t>CT</w:t>
      </w:r>
      <w:r>
        <w:rPr>
          <w:rFonts w:hint="eastAsia"/>
        </w:rPr>
        <w:t>值</w:t>
      </w:r>
      <w:bookmarkStart w:id="0" w:name="_GoBack"/>
      <w:bookmarkEnd w:id="0"/>
      <w:r>
        <w:rPr>
          <w:rFonts w:hint="eastAsia"/>
        </w:rPr>
        <w:t>线性</w:t>
      </w:r>
    </w:p>
    <w:p>
      <w:pPr>
        <w:numPr>
          <w:ilvl w:val="0"/>
          <w:numId w:val="0"/>
        </w:numPr>
        <w:spacing w:line="360" w:lineRule="auto"/>
        <w:jc w:val="left"/>
        <w:rPr>
          <w:b/>
        </w:rPr>
      </w:pP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5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放射工作场所防护检测按（</w:t>
      </w:r>
      <w:r>
        <w:rPr>
          <w:rFonts w:hint="eastAsia" w:ascii="微软雅黑" w:hAnsi="微软雅黑" w:eastAsia="微软雅黑" w:cs="微软雅黑"/>
          <w:b/>
        </w:rPr>
        <w:t>《放射诊断放射防护要求》</w:t>
      </w:r>
      <w:r>
        <w:rPr>
          <w:rFonts w:hint="eastAsia" w:ascii="宋体" w:hAnsi="宋体" w:eastAsia="宋体" w:cs="宋体"/>
          <w:b/>
        </w:rPr>
        <w:t>GBZ130-2020</w:t>
      </w:r>
      <w:r>
        <w:rPr>
          <w:rFonts w:hint="eastAsia"/>
          <w:b/>
        </w:rPr>
        <w:t>）标准要求正确选择点位。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</w:rPr>
      </w:pP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全部检测项目指标符合国家限值的要求。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9EA474"/>
    <w:multiLevelType w:val="singleLevel"/>
    <w:tmpl w:val="B99EA47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C6ECA5E4"/>
    <w:multiLevelType w:val="singleLevel"/>
    <w:tmpl w:val="C6ECA5E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  <w:vertAlign w:val="baseline"/>
      </w:rPr>
    </w:lvl>
  </w:abstractNum>
  <w:abstractNum w:abstractNumId="3">
    <w:nsid w:val="D8E62FC5"/>
    <w:multiLevelType w:val="singleLevel"/>
    <w:tmpl w:val="D8E62FC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64138CEF"/>
    <w:multiLevelType w:val="singleLevel"/>
    <w:tmpl w:val="64138CE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5679D0"/>
    <w:rsid w:val="01DB2C5D"/>
    <w:rsid w:val="02E944E8"/>
    <w:rsid w:val="04A52CD9"/>
    <w:rsid w:val="04ED779A"/>
    <w:rsid w:val="04F771BD"/>
    <w:rsid w:val="07386A5E"/>
    <w:rsid w:val="08C752B8"/>
    <w:rsid w:val="14D00AE6"/>
    <w:rsid w:val="17070736"/>
    <w:rsid w:val="1A390616"/>
    <w:rsid w:val="1F236784"/>
    <w:rsid w:val="23032681"/>
    <w:rsid w:val="32610D84"/>
    <w:rsid w:val="3C2F0372"/>
    <w:rsid w:val="3F386FE7"/>
    <w:rsid w:val="457273C9"/>
    <w:rsid w:val="46E91D63"/>
    <w:rsid w:val="4D7A28CC"/>
    <w:rsid w:val="4E7509BE"/>
    <w:rsid w:val="5E140BB8"/>
    <w:rsid w:val="641E6EC3"/>
    <w:rsid w:val="6FBC6891"/>
    <w:rsid w:val="711A6085"/>
    <w:rsid w:val="7249035C"/>
    <w:rsid w:val="7318781C"/>
    <w:rsid w:val="73463D46"/>
    <w:rsid w:val="74B816C9"/>
    <w:rsid w:val="78D84F7C"/>
    <w:rsid w:val="7904071F"/>
    <w:rsid w:val="7A6954F3"/>
    <w:rsid w:val="7B800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1076</Words>
  <Characters>1156</Characters>
  <Lines>2</Lines>
  <Paragraphs>1</Paragraphs>
  <TotalTime>0</TotalTime>
  <ScaleCrop>false</ScaleCrop>
  <LinksUpToDate>false</LinksUpToDate>
  <CharactersWithSpaces>1479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2023-07-24T07:58:15Z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