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bCs/>
          <w:sz w:val="28"/>
          <w:szCs w:val="28"/>
          <w:lang w:val="en-US" w:eastAsia="zh-CN"/>
        </w:rPr>
        <w:t>一、资质要求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  <w:lang w:eastAsia="zh-CN"/>
        </w:rPr>
        <w:t>具备企业法人营业执照，</w:t>
      </w:r>
      <w:r>
        <w:rPr>
          <w:rFonts w:hint="eastAsia"/>
          <w:sz w:val="24"/>
          <w:szCs w:val="21"/>
        </w:rPr>
        <w:t>具备经营消防用品及灭火器充装换药等相关经营资质</w:t>
      </w:r>
      <w:r>
        <w:rPr>
          <w:rFonts w:hint="eastAsia"/>
          <w:sz w:val="24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宋体" w:hAns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cs="Times New Roman"/>
          <w:b/>
          <w:bCs/>
          <w:sz w:val="28"/>
          <w:szCs w:val="28"/>
          <w:lang w:val="en-US" w:eastAsia="zh-CN"/>
        </w:rPr>
        <w:t>灭火器充装换药服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  <w:lang w:val="en-US" w:eastAsia="zh-CN"/>
        </w:rPr>
        <w:t>（一）检验证明：</w:t>
      </w:r>
      <w:r>
        <w:rPr>
          <w:rFonts w:hint="eastAsia"/>
          <w:sz w:val="24"/>
          <w:szCs w:val="21"/>
        </w:rPr>
        <w:t>充装换药完毕后，出具符合消防检查的检验合格证书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eastAsiaTheme="minor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（二）灭火器</w:t>
      </w:r>
      <w:r>
        <w:rPr>
          <w:rFonts w:hint="eastAsia"/>
          <w:sz w:val="24"/>
          <w:szCs w:val="21"/>
        </w:rPr>
        <w:t>具体数量</w:t>
      </w:r>
      <w:r>
        <w:rPr>
          <w:rFonts w:hint="eastAsia"/>
          <w:sz w:val="24"/>
          <w:szCs w:val="21"/>
          <w:lang w:eastAsia="zh-CN"/>
        </w:rPr>
        <w:t>、</w:t>
      </w:r>
      <w:r>
        <w:rPr>
          <w:rFonts w:hint="eastAsia"/>
          <w:sz w:val="24"/>
          <w:szCs w:val="21"/>
          <w:lang w:val="en-US" w:eastAsia="zh-CN"/>
        </w:rPr>
        <w:t>规格及单价</w:t>
      </w:r>
    </w:p>
    <w:tbl>
      <w:tblPr>
        <w:tblStyle w:val="6"/>
        <w:tblW w:w="81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406"/>
        <w:gridCol w:w="1527"/>
        <w:gridCol w:w="1661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数量（具）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单价（元/公斤）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22990.6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  <w:lang w:eastAsia="zh-CN"/>
        </w:rPr>
        <w:t>（</w:t>
      </w:r>
      <w:r>
        <w:rPr>
          <w:rFonts w:hint="eastAsia"/>
          <w:sz w:val="24"/>
          <w:szCs w:val="21"/>
          <w:lang w:val="en-US" w:eastAsia="zh-CN"/>
        </w:rPr>
        <w:t>三</w:t>
      </w:r>
      <w:r>
        <w:rPr>
          <w:rFonts w:hint="eastAsia"/>
          <w:sz w:val="24"/>
          <w:szCs w:val="21"/>
          <w:lang w:eastAsia="zh-CN"/>
        </w:rPr>
        <w:t>）</w:t>
      </w:r>
      <w:r>
        <w:rPr>
          <w:rFonts w:hint="eastAsia"/>
          <w:sz w:val="24"/>
          <w:szCs w:val="21"/>
        </w:rPr>
        <w:t>实用范围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sz w:val="24"/>
          <w:szCs w:val="21"/>
        </w:rPr>
      </w:pPr>
      <w:r>
        <w:rPr>
          <w:rFonts w:hint="eastAsia"/>
          <w:sz w:val="24"/>
          <w:szCs w:val="21"/>
        </w:rPr>
        <w:t>适用于易燃、可燃液体，气体及带电设备的初起火灾扑救。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eastAsiaTheme="minorEastAsia"/>
          <w:sz w:val="24"/>
          <w:szCs w:val="21"/>
          <w:lang w:eastAsia="zh-CN"/>
        </w:rPr>
      </w:pPr>
      <w:r>
        <w:rPr>
          <w:rFonts w:hint="eastAsia"/>
          <w:sz w:val="24"/>
          <w:szCs w:val="21"/>
          <w:lang w:eastAsia="zh-CN"/>
        </w:rPr>
        <w:t>（</w:t>
      </w:r>
      <w:r>
        <w:rPr>
          <w:rFonts w:hint="eastAsia"/>
          <w:sz w:val="24"/>
          <w:szCs w:val="21"/>
          <w:lang w:val="en-US" w:eastAsia="zh-CN"/>
        </w:rPr>
        <w:t>四</w:t>
      </w:r>
      <w:r>
        <w:rPr>
          <w:rFonts w:hint="eastAsia"/>
          <w:sz w:val="24"/>
          <w:szCs w:val="21"/>
          <w:lang w:eastAsia="zh-CN"/>
        </w:rPr>
        <w:t>）</w:t>
      </w:r>
      <w:r>
        <w:rPr>
          <w:rFonts w:hint="eastAsia"/>
          <w:sz w:val="24"/>
          <w:szCs w:val="21"/>
        </w:rPr>
        <w:t>技术参数</w:t>
      </w:r>
      <w:r>
        <w:rPr>
          <w:rFonts w:hint="eastAsia"/>
          <w:sz w:val="24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干粉：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装粉量  +-0.08               磷酸铵盐干粉（ABC干粉）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N2眼里（Mpa）1.2≧3.0      喷射时间（s）≧9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喷射距离（m）≧4           使用温度（℃）-20—+55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气体：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二氧化碳纯度（体积分数）≧99.5  使用温度范围：-10℃—55℃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灭火级别：21B        水压试验压力：25.5Mpa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（五）消防设施单价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水马围栏80元/个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路锥</w:t>
      </w:r>
      <w:r>
        <w:rPr>
          <w:rFonts w:hint="eastAsia"/>
          <w:sz w:val="24"/>
          <w:szCs w:val="24"/>
          <w:lang w:val="en-US" w:eastAsia="zh-CN"/>
        </w:rPr>
        <w:t>35元/个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消防应急灯50</w:t>
      </w:r>
      <w:r>
        <w:rPr>
          <w:rFonts w:hint="eastAsia"/>
          <w:sz w:val="24"/>
          <w:szCs w:val="24"/>
          <w:lang w:val="en-US" w:eastAsia="zh-CN"/>
        </w:rPr>
        <w:t>元/</w:t>
      </w:r>
      <w:r>
        <w:rPr>
          <w:rFonts w:hint="default"/>
          <w:sz w:val="24"/>
          <w:szCs w:val="24"/>
          <w:lang w:val="en-US" w:eastAsia="zh-CN"/>
        </w:rPr>
        <w:t xml:space="preserve">个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安全出口 35 </w:t>
      </w:r>
      <w:r>
        <w:rPr>
          <w:rFonts w:hint="eastAsia"/>
          <w:sz w:val="24"/>
          <w:szCs w:val="24"/>
          <w:lang w:val="en-US" w:eastAsia="zh-CN"/>
        </w:rPr>
        <w:t>元/</w:t>
      </w:r>
      <w:r>
        <w:rPr>
          <w:rFonts w:hint="default"/>
          <w:sz w:val="24"/>
          <w:szCs w:val="24"/>
          <w:lang w:val="en-US" w:eastAsia="zh-CN"/>
        </w:rPr>
        <w:t>个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消防水带  160</w:t>
      </w:r>
      <w:r>
        <w:rPr>
          <w:rFonts w:hint="eastAsia"/>
          <w:sz w:val="24"/>
          <w:szCs w:val="24"/>
          <w:lang w:val="en-US" w:eastAsia="zh-CN"/>
        </w:rPr>
        <w:t>元/卷</w:t>
      </w:r>
      <w:r>
        <w:rPr>
          <w:rFonts w:hint="default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消防水枪  37</w:t>
      </w:r>
      <w:r>
        <w:rPr>
          <w:rFonts w:hint="eastAsia"/>
          <w:sz w:val="24"/>
          <w:szCs w:val="24"/>
          <w:lang w:val="en-US" w:eastAsia="zh-CN"/>
        </w:rPr>
        <w:t>元/</w:t>
      </w:r>
      <w:r>
        <w:rPr>
          <w:rFonts w:hint="default"/>
          <w:sz w:val="24"/>
          <w:szCs w:val="24"/>
          <w:lang w:val="en-US" w:eastAsia="zh-CN"/>
        </w:rPr>
        <w:t xml:space="preserve">支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水带接扣 3</w:t>
      </w:r>
      <w:r>
        <w:rPr>
          <w:rFonts w:hint="eastAsia"/>
          <w:sz w:val="24"/>
          <w:szCs w:val="24"/>
          <w:lang w:val="en-US" w:eastAsia="zh-CN"/>
        </w:rPr>
        <w:t>5元/套</w:t>
      </w:r>
      <w:r>
        <w:rPr>
          <w:rFonts w:hint="default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消火栓箱  95</w:t>
      </w:r>
      <w:r>
        <w:rPr>
          <w:rFonts w:hint="eastAsia"/>
          <w:sz w:val="24"/>
          <w:szCs w:val="24"/>
          <w:lang w:val="en-US" w:eastAsia="zh-CN"/>
        </w:rPr>
        <w:t>元/</w:t>
      </w:r>
      <w:r>
        <w:rPr>
          <w:rFonts w:hint="default"/>
          <w:sz w:val="24"/>
          <w:szCs w:val="24"/>
          <w:lang w:val="en-US" w:eastAsia="zh-CN"/>
        </w:rPr>
        <w:t>个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防烟面具  60</w:t>
      </w:r>
      <w:r>
        <w:rPr>
          <w:rFonts w:hint="eastAsia"/>
          <w:sz w:val="24"/>
          <w:szCs w:val="24"/>
          <w:lang w:val="en-US" w:eastAsia="zh-CN"/>
        </w:rPr>
        <w:t>元/</w:t>
      </w:r>
      <w:r>
        <w:rPr>
          <w:rFonts w:hint="default"/>
          <w:sz w:val="24"/>
          <w:szCs w:val="24"/>
          <w:lang w:val="en-US" w:eastAsia="zh-CN"/>
        </w:rPr>
        <w:t xml:space="preserve"> 个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干粉灭火器</w:t>
      </w:r>
      <w:r>
        <w:rPr>
          <w:rFonts w:hint="eastAsia"/>
          <w:sz w:val="24"/>
          <w:szCs w:val="24"/>
          <w:lang w:val="en-US" w:eastAsia="zh-CN"/>
        </w:rPr>
        <w:t>（4KG）</w:t>
      </w:r>
      <w:r>
        <w:rPr>
          <w:rFonts w:hint="default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80元</w:t>
      </w:r>
      <w:r>
        <w:rPr>
          <w:rFonts w:hint="default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/</w:t>
      </w:r>
      <w:r>
        <w:rPr>
          <w:rFonts w:hint="default"/>
          <w:sz w:val="24"/>
          <w:szCs w:val="24"/>
          <w:lang w:val="en-US" w:eastAsia="zh-CN"/>
        </w:rPr>
        <w:t xml:space="preserve">具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灭火器箱 4*4 个 85</w:t>
      </w:r>
      <w:r>
        <w:rPr>
          <w:rFonts w:hint="eastAsia"/>
          <w:sz w:val="24"/>
          <w:szCs w:val="24"/>
          <w:lang w:val="en-US" w:eastAsia="zh-CN"/>
        </w:rPr>
        <w:t>元/个</w:t>
      </w:r>
      <w:r>
        <w:rPr>
          <w:rFonts w:hint="default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灭火器箱4*2 个 45</w:t>
      </w:r>
      <w:r>
        <w:rPr>
          <w:rFonts w:hint="eastAsia"/>
          <w:sz w:val="24"/>
          <w:szCs w:val="24"/>
          <w:lang w:val="en-US" w:eastAsia="zh-CN"/>
        </w:rPr>
        <w:t>元/个</w:t>
      </w:r>
      <w:r>
        <w:rPr>
          <w:rFonts w:hint="default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气体灭火器具</w:t>
      </w:r>
      <w:r>
        <w:rPr>
          <w:rFonts w:hint="eastAsia"/>
          <w:sz w:val="24"/>
          <w:szCs w:val="24"/>
          <w:lang w:val="en-US" w:eastAsia="zh-CN"/>
        </w:rPr>
        <w:t>（2KG二氧化碳）</w:t>
      </w:r>
      <w:r>
        <w:rPr>
          <w:rFonts w:hint="default"/>
          <w:sz w:val="24"/>
          <w:szCs w:val="24"/>
          <w:lang w:val="en-US" w:eastAsia="zh-CN"/>
        </w:rPr>
        <w:t xml:space="preserve"> 120</w:t>
      </w:r>
      <w:r>
        <w:rPr>
          <w:rFonts w:hint="eastAsia"/>
          <w:sz w:val="24"/>
          <w:szCs w:val="24"/>
          <w:lang w:val="en-US" w:eastAsia="zh-CN"/>
        </w:rPr>
        <w:t>元/个</w:t>
      </w:r>
      <w:r>
        <w:rPr>
          <w:rFonts w:hint="default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感烟探测器  90 </w:t>
      </w:r>
      <w:r>
        <w:rPr>
          <w:rFonts w:hint="eastAsia"/>
          <w:sz w:val="24"/>
          <w:szCs w:val="24"/>
          <w:lang w:val="en-US" w:eastAsia="zh-CN"/>
        </w:rPr>
        <w:t>元/</w:t>
      </w:r>
      <w:r>
        <w:rPr>
          <w:rFonts w:hint="default"/>
          <w:sz w:val="24"/>
          <w:szCs w:val="24"/>
          <w:lang w:val="en-US" w:eastAsia="zh-CN"/>
        </w:rPr>
        <w:t>个不包安装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手动报警按钮  80</w:t>
      </w:r>
      <w:r>
        <w:rPr>
          <w:rFonts w:hint="eastAsia"/>
          <w:sz w:val="24"/>
          <w:szCs w:val="24"/>
          <w:lang w:val="en-US" w:eastAsia="zh-CN"/>
        </w:rPr>
        <w:t>元/</w:t>
      </w:r>
      <w:r>
        <w:rPr>
          <w:rFonts w:hint="default"/>
          <w:sz w:val="24"/>
          <w:szCs w:val="24"/>
          <w:lang w:val="en-US" w:eastAsia="zh-CN"/>
        </w:rPr>
        <w:t>个 不包安装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声光报警器 个 110</w:t>
      </w:r>
      <w:r>
        <w:rPr>
          <w:rFonts w:hint="eastAsia"/>
          <w:sz w:val="24"/>
          <w:szCs w:val="24"/>
          <w:lang w:val="en-US" w:eastAsia="zh-CN"/>
        </w:rPr>
        <w:t>元/个</w:t>
      </w:r>
      <w:r>
        <w:rPr>
          <w:rFonts w:hint="default"/>
          <w:sz w:val="24"/>
          <w:szCs w:val="24"/>
          <w:lang w:val="en-US" w:eastAsia="zh-CN"/>
        </w:rPr>
        <w:t xml:space="preserve"> 不包安装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消防信号线</w:t>
      </w:r>
      <w:r>
        <w:rPr>
          <w:rFonts w:hint="eastAsia"/>
          <w:sz w:val="24"/>
          <w:szCs w:val="24"/>
          <w:lang w:val="en-US" w:eastAsia="zh-CN"/>
        </w:rPr>
        <w:t>（国标）270元/</w:t>
      </w:r>
      <w:r>
        <w:rPr>
          <w:rFonts w:hint="default"/>
          <w:sz w:val="24"/>
          <w:szCs w:val="24"/>
          <w:lang w:val="en-US" w:eastAsia="zh-CN"/>
        </w:rPr>
        <w:t xml:space="preserve">卷 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警示带0.8元/米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6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6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3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5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02AB9"/>
    <w:multiLevelType w:val="singleLevel"/>
    <w:tmpl w:val="38A02A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4NDE0NzM5YTVjNzE0NWYxNmE0ZmFlNDc2M2IzODY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DB2C5D"/>
    <w:rsid w:val="07386A5E"/>
    <w:rsid w:val="14D00AE6"/>
    <w:rsid w:val="17070736"/>
    <w:rsid w:val="1A390616"/>
    <w:rsid w:val="1F236784"/>
    <w:rsid w:val="23032681"/>
    <w:rsid w:val="3F386FE7"/>
    <w:rsid w:val="46E91D63"/>
    <w:rsid w:val="4D7A28CC"/>
    <w:rsid w:val="5E140BB8"/>
    <w:rsid w:val="711A6085"/>
    <w:rsid w:val="7249035C"/>
    <w:rsid w:val="78D84F7C"/>
    <w:rsid w:val="7A6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A9CA-A129-4C4F-A45E-2A82B0D707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502</Words>
  <Characters>609</Characters>
  <Lines>2</Lines>
  <Paragraphs>1</Paragraphs>
  <TotalTime>0</TotalTime>
  <ScaleCrop>false</ScaleCrop>
  <LinksUpToDate>false</LinksUpToDate>
  <CharactersWithSpaces>710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zyy-jkb</cp:lastModifiedBy>
  <cp:lastPrinted>2022-10-18T02:40:00Z</cp:lastPrinted>
  <dcterms:modified xsi:type="dcterms:W3CDTF">2022-10-31T07:49:49Z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1831522861034412913FE873A5C5E6DA</vt:lpwstr>
  </property>
</Properties>
</file>