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321" w:firstLineChars="100"/>
        <w:rPr>
          <w:rFonts w:ascii="宋体" w:cs="宋体"/>
          <w:b/>
          <w:sz w:val="32"/>
          <w:szCs w:val="32"/>
        </w:rPr>
      </w:pPr>
      <w:r>
        <w:rPr>
          <w:rFonts w:hint="eastAsia" w:ascii="宋体" w:hAnsi="宋体" w:cs="宋体"/>
          <w:b/>
          <w:kern w:val="0"/>
          <w:sz w:val="32"/>
          <w:szCs w:val="32"/>
        </w:rPr>
        <w:t>附件：</w:t>
      </w:r>
      <w:r>
        <w:rPr>
          <w:rFonts w:hint="eastAsia" w:ascii="宋体" w:hAnsi="宋体" w:cs="宋体"/>
          <w:b/>
          <w:color w:val="000033"/>
          <w:kern w:val="0"/>
          <w:sz w:val="32"/>
          <w:szCs w:val="32"/>
        </w:rPr>
        <w:t>陪护公司遴选项目</w:t>
      </w:r>
      <w:r>
        <w:rPr>
          <w:rFonts w:hint="eastAsia" w:ascii="宋体" w:hAnsi="宋体" w:cs="宋体"/>
          <w:b/>
          <w:kern w:val="0"/>
          <w:sz w:val="32"/>
          <w:szCs w:val="32"/>
        </w:rPr>
        <w:t>商务及技术要求</w:t>
      </w:r>
    </w:p>
    <w:p>
      <w:pPr>
        <w:adjustRightInd w:val="0"/>
        <w:snapToGrid w:val="0"/>
        <w:spacing w:line="300" w:lineRule="auto"/>
        <w:rPr>
          <w:b/>
          <w:bCs/>
          <w:sz w:val="24"/>
          <w:szCs w:val="24"/>
        </w:rPr>
      </w:pPr>
      <w:r>
        <w:rPr>
          <w:rFonts w:hint="eastAsia"/>
          <w:b/>
          <w:bCs/>
          <w:sz w:val="24"/>
          <w:szCs w:val="24"/>
        </w:rPr>
        <w:t>一、资质要求</w:t>
      </w:r>
    </w:p>
    <w:p>
      <w:pPr>
        <w:adjustRightInd w:val="0"/>
        <w:snapToGrid w:val="0"/>
        <w:spacing w:line="300" w:lineRule="auto"/>
        <w:ind w:firstLine="480" w:firstLineChars="200"/>
        <w:rPr>
          <w:sz w:val="24"/>
          <w:szCs w:val="24"/>
        </w:rPr>
      </w:pPr>
      <w:r>
        <w:rPr>
          <w:sz w:val="24"/>
          <w:szCs w:val="24"/>
        </w:rPr>
        <w:t>1</w:t>
      </w:r>
      <w:r>
        <w:rPr>
          <w:rFonts w:hint="eastAsia"/>
          <w:sz w:val="24"/>
          <w:szCs w:val="24"/>
        </w:rPr>
        <w:t>、投标单位应提供法人营业执照、税务登记证、组织机构代码证或三证合一的营业执照（范围应包含人力资源中介服务或劳务派遣或家政服务相关业务）。</w:t>
      </w:r>
    </w:p>
    <w:p>
      <w:pPr>
        <w:adjustRightInd w:val="0"/>
        <w:snapToGrid w:val="0"/>
        <w:spacing w:line="300" w:lineRule="auto"/>
        <w:ind w:firstLine="480" w:firstLineChars="200"/>
        <w:rPr>
          <w:sz w:val="24"/>
          <w:szCs w:val="24"/>
        </w:rPr>
      </w:pPr>
      <w:r>
        <w:rPr>
          <w:rFonts w:hint="eastAsia"/>
          <w:sz w:val="24"/>
          <w:szCs w:val="24"/>
        </w:rPr>
        <w:t>2、通过“信用中国”网站（</w:t>
      </w:r>
      <w:r>
        <w:rPr>
          <w:sz w:val="24"/>
          <w:szCs w:val="24"/>
        </w:rPr>
        <w:t>www.creditchina.gov.cn</w:t>
      </w:r>
      <w:r>
        <w:rPr>
          <w:rFonts w:hint="eastAsia"/>
          <w:sz w:val="24"/>
          <w:szCs w:val="24"/>
        </w:rPr>
        <w:t>）、中国政府采购网（</w:t>
      </w:r>
      <w:r>
        <w:rPr>
          <w:sz w:val="24"/>
          <w:szCs w:val="24"/>
        </w:rPr>
        <w:t>www.ccgp.gov.cn</w:t>
      </w:r>
      <w:r>
        <w:rPr>
          <w:rFonts w:hint="eastAsia"/>
          <w:sz w:val="24"/>
          <w:szCs w:val="24"/>
        </w:rPr>
        <w:t>）等渠道查询的主体信用记录，供应商未被列入信用记录失信被执行人、重大税收违法案件当事人名单、政府采购严重违法失信行为记录名单。</w:t>
      </w:r>
    </w:p>
    <w:p>
      <w:pPr>
        <w:adjustRightInd w:val="0"/>
        <w:snapToGrid w:val="0"/>
        <w:spacing w:line="300" w:lineRule="auto"/>
        <w:ind w:firstLine="480" w:firstLineChars="200"/>
        <w:rPr>
          <w:sz w:val="24"/>
          <w:szCs w:val="24"/>
        </w:rPr>
      </w:pPr>
      <w:r>
        <w:rPr>
          <w:rFonts w:hint="eastAsia"/>
          <w:sz w:val="24"/>
          <w:szCs w:val="24"/>
        </w:rPr>
        <w:t>3、具有履行合同所必需的设备和专业技术能力（提供书面声明原件或相关证明材料复印件加盖单位公章）。</w:t>
      </w:r>
    </w:p>
    <w:p>
      <w:pPr>
        <w:adjustRightInd w:val="0"/>
        <w:snapToGrid w:val="0"/>
        <w:spacing w:line="300" w:lineRule="auto"/>
        <w:ind w:firstLine="480" w:firstLineChars="200"/>
        <w:rPr>
          <w:sz w:val="24"/>
          <w:szCs w:val="24"/>
        </w:rPr>
      </w:pPr>
      <w:r>
        <w:rPr>
          <w:rFonts w:hint="eastAsia"/>
          <w:sz w:val="24"/>
          <w:szCs w:val="24"/>
        </w:rPr>
        <w:t>4、有依法缴纳税收和社会保障资金的良好记录。</w:t>
      </w:r>
    </w:p>
    <w:p>
      <w:pPr>
        <w:adjustRightInd w:val="0"/>
        <w:snapToGrid w:val="0"/>
        <w:spacing w:line="300" w:lineRule="auto"/>
        <w:ind w:firstLine="480" w:firstLineChars="200"/>
        <w:rPr>
          <w:rFonts w:hint="eastAsia" w:eastAsia="宋体"/>
          <w:sz w:val="24"/>
          <w:szCs w:val="24"/>
          <w:lang w:eastAsia="zh-CN"/>
        </w:rPr>
      </w:pPr>
      <w:r>
        <w:rPr>
          <w:rFonts w:hint="eastAsia"/>
          <w:sz w:val="24"/>
          <w:szCs w:val="24"/>
        </w:rPr>
        <w:t>5、具有健全的财务会计制度</w:t>
      </w:r>
      <w:r>
        <w:rPr>
          <w:rFonts w:hint="eastAsia"/>
          <w:sz w:val="24"/>
          <w:szCs w:val="24"/>
          <w:lang w:eastAsia="zh-CN"/>
        </w:rPr>
        <w:t>。</w:t>
      </w:r>
    </w:p>
    <w:p>
      <w:pPr>
        <w:adjustRightInd w:val="0"/>
        <w:snapToGrid w:val="0"/>
        <w:spacing w:line="300" w:lineRule="auto"/>
        <w:rPr>
          <w:b/>
          <w:bCs/>
          <w:sz w:val="24"/>
          <w:szCs w:val="24"/>
        </w:rPr>
      </w:pPr>
      <w:r>
        <w:rPr>
          <w:rFonts w:hint="eastAsia"/>
          <w:b/>
          <w:bCs/>
          <w:sz w:val="24"/>
          <w:szCs w:val="24"/>
        </w:rPr>
        <w:t>二、项目要求</w:t>
      </w:r>
    </w:p>
    <w:p>
      <w:pPr>
        <w:adjustRightInd w:val="0"/>
        <w:snapToGrid w:val="0"/>
        <w:spacing w:line="300" w:lineRule="auto"/>
        <w:ind w:firstLine="480" w:firstLineChars="200"/>
        <w:rPr>
          <w:sz w:val="24"/>
          <w:szCs w:val="24"/>
        </w:rPr>
      </w:pPr>
      <w:bookmarkStart w:id="0" w:name="_Toc456101415"/>
      <w:r>
        <w:rPr>
          <w:sz w:val="24"/>
          <w:szCs w:val="24"/>
        </w:rPr>
        <w:t>1</w:t>
      </w:r>
      <w:r>
        <w:rPr>
          <w:rFonts w:hint="eastAsia"/>
          <w:sz w:val="24"/>
          <w:szCs w:val="24"/>
        </w:rPr>
        <w:t>、公司制定有完善的陪护管理及服务计划，提供公司服务项目明细及价格。</w:t>
      </w:r>
    </w:p>
    <w:p>
      <w:pPr>
        <w:adjustRightInd w:val="0"/>
        <w:snapToGrid w:val="0"/>
        <w:spacing w:line="300" w:lineRule="auto"/>
        <w:ind w:firstLine="480" w:firstLineChars="200"/>
        <w:rPr>
          <w:sz w:val="24"/>
          <w:szCs w:val="24"/>
        </w:rPr>
      </w:pPr>
      <w:r>
        <w:rPr>
          <w:sz w:val="24"/>
          <w:szCs w:val="24"/>
        </w:rPr>
        <w:t>2</w:t>
      </w:r>
      <w:r>
        <w:rPr>
          <w:rFonts w:hint="eastAsia"/>
          <w:sz w:val="24"/>
          <w:szCs w:val="24"/>
        </w:rPr>
        <w:t>、公司制定有完善的培训计划，定期业务培训，所有上岗员工必须接受过专业培训，</w:t>
      </w:r>
      <w:r>
        <w:rPr>
          <w:rFonts w:hint="eastAsia" w:ascii="宋体" w:hAnsi="宋体" w:cs="宋体"/>
          <w:color w:val="auto"/>
          <w:kern w:val="0"/>
          <w:szCs w:val="21"/>
          <w:lang w:val="en-US" w:eastAsia="zh-CN"/>
        </w:rPr>
        <w:t>且</w:t>
      </w:r>
      <w:r>
        <w:rPr>
          <w:rFonts w:hint="eastAsia" w:ascii="宋体" w:hAnsi="宋体" w:cs="宋体"/>
          <w:color w:val="auto"/>
          <w:kern w:val="0"/>
          <w:szCs w:val="21"/>
        </w:rPr>
        <w:t>持陪护证上岗</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在投标文件中提供</w:t>
      </w:r>
      <w:r>
        <w:rPr>
          <w:rFonts w:hint="eastAsia" w:ascii="宋体" w:hAnsi="宋体" w:cs="宋体"/>
          <w:color w:val="auto"/>
          <w:kern w:val="0"/>
          <w:szCs w:val="21"/>
        </w:rPr>
        <w:t>陪护证</w:t>
      </w:r>
      <w:r>
        <w:rPr>
          <w:rFonts w:hint="eastAsia" w:ascii="宋体" w:hAnsi="宋体" w:cs="宋体"/>
          <w:color w:val="auto"/>
          <w:kern w:val="0"/>
          <w:szCs w:val="21"/>
          <w:lang w:val="en-US" w:eastAsia="zh-CN"/>
        </w:rPr>
        <w:t>复印件，</w:t>
      </w:r>
      <w:r>
        <w:rPr>
          <w:rFonts w:hint="eastAsia"/>
          <w:sz w:val="24"/>
          <w:szCs w:val="24"/>
        </w:rPr>
        <w:t>熟练掌握相关护理技能及操作规程。</w:t>
      </w:r>
    </w:p>
    <w:p>
      <w:pPr>
        <w:adjustRightInd w:val="0"/>
        <w:snapToGrid w:val="0"/>
        <w:spacing w:line="300" w:lineRule="auto"/>
        <w:ind w:firstLine="480" w:firstLineChars="200"/>
        <w:rPr>
          <w:sz w:val="24"/>
          <w:szCs w:val="24"/>
        </w:rPr>
      </w:pPr>
      <w:r>
        <w:rPr>
          <w:sz w:val="24"/>
          <w:szCs w:val="24"/>
        </w:rPr>
        <w:t>3</w:t>
      </w:r>
      <w:r>
        <w:rPr>
          <w:rFonts w:hint="eastAsia"/>
          <w:sz w:val="24"/>
          <w:szCs w:val="24"/>
        </w:rPr>
        <w:t>、结合医院实际，制定陪护服务计划：提供市场经营计划及预期，公司培训管理流程，提供公司服务质量管理、劳动纪律管理等方案。</w:t>
      </w:r>
    </w:p>
    <w:p>
      <w:pPr>
        <w:adjustRightInd w:val="0"/>
        <w:snapToGrid w:val="0"/>
        <w:spacing w:line="300" w:lineRule="auto"/>
        <w:ind w:firstLine="480" w:firstLineChars="200"/>
        <w:rPr>
          <w:sz w:val="24"/>
          <w:szCs w:val="24"/>
        </w:rPr>
      </w:pPr>
      <w:r>
        <w:rPr>
          <w:sz w:val="24"/>
          <w:szCs w:val="24"/>
        </w:rPr>
        <w:t>4</w:t>
      </w:r>
      <w:r>
        <w:rPr>
          <w:rFonts w:hint="eastAsia"/>
          <w:sz w:val="24"/>
          <w:szCs w:val="24"/>
        </w:rPr>
        <w:t>、公司聘用人员须承诺服从医院整体运行管理，服从相关职能部门管理及遵守医院各项规章制度。</w:t>
      </w:r>
    </w:p>
    <w:p>
      <w:pPr>
        <w:adjustRightInd w:val="0"/>
        <w:snapToGrid w:val="0"/>
        <w:spacing w:line="300" w:lineRule="auto"/>
        <w:ind w:firstLine="480" w:firstLineChars="200"/>
        <w:rPr>
          <w:sz w:val="24"/>
          <w:szCs w:val="24"/>
        </w:rPr>
      </w:pPr>
      <w:r>
        <w:rPr>
          <w:sz w:val="24"/>
          <w:szCs w:val="24"/>
        </w:rPr>
        <w:t>5</w:t>
      </w:r>
      <w:r>
        <w:rPr>
          <w:rFonts w:hint="eastAsia"/>
          <w:sz w:val="24"/>
          <w:szCs w:val="24"/>
        </w:rPr>
        <w:t>、公司聘用人员须爱护医院公共财产及用品，如有损坏照价赔偿；陪护床发放、回收等管理工作，应服从医院统一安排。</w:t>
      </w:r>
    </w:p>
    <w:p>
      <w:pPr>
        <w:adjustRightInd w:val="0"/>
        <w:snapToGrid w:val="0"/>
        <w:spacing w:line="300" w:lineRule="auto"/>
        <w:ind w:firstLine="480" w:firstLineChars="200"/>
        <w:rPr>
          <w:sz w:val="24"/>
          <w:szCs w:val="24"/>
        </w:rPr>
      </w:pPr>
      <w:r>
        <w:rPr>
          <w:sz w:val="24"/>
          <w:szCs w:val="24"/>
        </w:rPr>
        <w:t>6</w:t>
      </w:r>
      <w:r>
        <w:rPr>
          <w:rFonts w:hint="eastAsia"/>
          <w:sz w:val="24"/>
          <w:szCs w:val="24"/>
        </w:rPr>
        <w:t>、公司聘用人员须挂牌上岗，规范着装、礼貌用语。</w:t>
      </w:r>
    </w:p>
    <w:p>
      <w:pPr>
        <w:adjustRightInd w:val="0"/>
        <w:snapToGrid w:val="0"/>
        <w:spacing w:line="300" w:lineRule="auto"/>
        <w:ind w:firstLine="480" w:firstLineChars="200"/>
        <w:rPr>
          <w:sz w:val="24"/>
          <w:szCs w:val="24"/>
        </w:rPr>
      </w:pPr>
      <w:r>
        <w:rPr>
          <w:sz w:val="24"/>
          <w:szCs w:val="24"/>
        </w:rPr>
        <w:t>7</w:t>
      </w:r>
      <w:r>
        <w:rPr>
          <w:rFonts w:hint="eastAsia"/>
          <w:sz w:val="24"/>
          <w:szCs w:val="24"/>
        </w:rPr>
        <w:t>、护工全天陪护价格不超过每人</w:t>
      </w:r>
      <w:r>
        <w:rPr>
          <w:sz w:val="24"/>
          <w:szCs w:val="24"/>
        </w:rPr>
        <w:t>150</w:t>
      </w:r>
      <w:r>
        <w:rPr>
          <w:rFonts w:hint="eastAsia"/>
          <w:sz w:val="24"/>
          <w:szCs w:val="24"/>
        </w:rPr>
        <w:t>元</w:t>
      </w:r>
      <w:r>
        <w:rPr>
          <w:sz w:val="24"/>
          <w:szCs w:val="24"/>
        </w:rPr>
        <w:t>/</w:t>
      </w:r>
      <w:r>
        <w:rPr>
          <w:rFonts w:hint="eastAsia"/>
          <w:sz w:val="24"/>
          <w:szCs w:val="24"/>
        </w:rPr>
        <w:t>天。</w:t>
      </w:r>
    </w:p>
    <w:p>
      <w:pPr>
        <w:adjustRightInd w:val="0"/>
        <w:snapToGrid w:val="0"/>
        <w:spacing w:line="300" w:lineRule="auto"/>
        <w:ind w:firstLine="480" w:firstLineChars="200"/>
        <w:rPr>
          <w:sz w:val="24"/>
          <w:szCs w:val="24"/>
        </w:rPr>
      </w:pPr>
      <w:r>
        <w:rPr>
          <w:sz w:val="24"/>
          <w:szCs w:val="24"/>
        </w:rPr>
        <w:t>8</w:t>
      </w:r>
      <w:r>
        <w:rPr>
          <w:rFonts w:hint="eastAsia"/>
          <w:sz w:val="24"/>
          <w:szCs w:val="24"/>
        </w:rPr>
        <w:t>、受聘公司在中标后入驻医院前，必须向医院缴纳诚信金</w:t>
      </w:r>
      <w:r>
        <w:rPr>
          <w:sz w:val="24"/>
          <w:szCs w:val="24"/>
        </w:rPr>
        <w:t>10000</w:t>
      </w:r>
      <w:r>
        <w:rPr>
          <w:rFonts w:hint="eastAsia"/>
          <w:sz w:val="24"/>
          <w:szCs w:val="24"/>
        </w:rPr>
        <w:t>元。如公司在医院服务工作中，出现投诉等不良记录，医院有权扣除一定金额的诚信金。</w:t>
      </w:r>
    </w:p>
    <w:p>
      <w:pPr>
        <w:adjustRightInd w:val="0"/>
        <w:snapToGrid w:val="0"/>
        <w:spacing w:line="300" w:lineRule="auto"/>
        <w:ind w:firstLine="480" w:firstLineChars="200"/>
        <w:rPr>
          <w:sz w:val="24"/>
          <w:szCs w:val="24"/>
        </w:rPr>
      </w:pPr>
      <w:r>
        <w:rPr>
          <w:sz w:val="24"/>
          <w:szCs w:val="24"/>
        </w:rPr>
        <w:t>9</w:t>
      </w:r>
      <w:r>
        <w:rPr>
          <w:rFonts w:hint="eastAsia"/>
          <w:sz w:val="24"/>
          <w:szCs w:val="24"/>
        </w:rPr>
        <w:t>、供应商须提供大型综合性医院陪护管理成功案例，其中至少一例为三级甲等医院；（提供合同复印件加盖单位公章，如不能完全反映上述考核内容，可提供其他证明资料复印件加盖单位公章。）</w:t>
      </w:r>
    </w:p>
    <w:p>
      <w:pPr>
        <w:adjustRightInd w:val="0"/>
        <w:snapToGrid w:val="0"/>
        <w:spacing w:line="300" w:lineRule="auto"/>
        <w:ind w:firstLine="480" w:firstLineChars="200"/>
        <w:rPr>
          <w:sz w:val="24"/>
          <w:szCs w:val="24"/>
        </w:rPr>
      </w:pPr>
      <w:r>
        <w:rPr>
          <w:rFonts w:hint="eastAsia"/>
          <w:sz w:val="24"/>
          <w:szCs w:val="24"/>
        </w:rPr>
        <w:t>10、服务周期：3年</w:t>
      </w:r>
    </w:p>
    <w:p>
      <w:pPr>
        <w:adjustRightInd w:val="0"/>
        <w:snapToGrid w:val="0"/>
        <w:spacing w:line="300" w:lineRule="auto"/>
        <w:ind w:firstLine="480" w:firstLineChars="200"/>
        <w:rPr>
          <w:sz w:val="24"/>
          <w:szCs w:val="24"/>
        </w:rPr>
      </w:pPr>
      <w:r>
        <w:rPr>
          <w:sz w:val="24"/>
          <w:szCs w:val="24"/>
        </w:rPr>
        <w:t>1</w:t>
      </w:r>
      <w:r>
        <w:rPr>
          <w:rFonts w:hint="eastAsia"/>
          <w:sz w:val="24"/>
          <w:szCs w:val="24"/>
        </w:rPr>
        <w:t>1、本项目不接受联合体参与遴选。</w:t>
      </w:r>
    </w:p>
    <w:p>
      <w:pPr>
        <w:adjustRightInd w:val="0"/>
        <w:snapToGrid w:val="0"/>
        <w:spacing w:line="300" w:lineRule="auto"/>
        <w:ind w:firstLine="480" w:firstLineChars="200"/>
        <w:rPr>
          <w:sz w:val="24"/>
          <w:szCs w:val="24"/>
        </w:rPr>
      </w:pPr>
      <w:r>
        <w:rPr>
          <w:sz w:val="24"/>
          <w:szCs w:val="24"/>
        </w:rPr>
        <w:t>1</w:t>
      </w:r>
      <w:r>
        <w:rPr>
          <w:rFonts w:hint="eastAsia"/>
          <w:sz w:val="24"/>
          <w:szCs w:val="24"/>
        </w:rPr>
        <w:t>2、其他要求：本文未尽事宜，双方在合同中共同约定。</w:t>
      </w:r>
    </w:p>
    <w:p>
      <w:pPr>
        <w:adjustRightInd w:val="0"/>
        <w:snapToGrid w:val="0"/>
        <w:spacing w:line="300" w:lineRule="auto"/>
        <w:rPr>
          <w:sz w:val="24"/>
          <w:szCs w:val="24"/>
        </w:rPr>
      </w:pPr>
    </w:p>
    <w:p>
      <w:pPr>
        <w:adjustRightInd w:val="0"/>
        <w:snapToGrid w:val="0"/>
        <w:spacing w:line="300" w:lineRule="auto"/>
        <w:rPr>
          <w:sz w:val="24"/>
          <w:szCs w:val="24"/>
        </w:rPr>
      </w:pPr>
    </w:p>
    <w:p>
      <w:pPr>
        <w:adjustRightInd w:val="0"/>
        <w:snapToGrid w:val="0"/>
        <w:spacing w:line="300" w:lineRule="auto"/>
        <w:rPr>
          <w:sz w:val="24"/>
          <w:szCs w:val="24"/>
        </w:rPr>
      </w:pPr>
    </w:p>
    <w:p>
      <w:pPr>
        <w:pStyle w:val="2"/>
        <w:rPr>
          <w:sz w:val="28"/>
          <w:szCs w:val="28"/>
        </w:rPr>
      </w:pPr>
      <w:r>
        <w:rPr>
          <w:rFonts w:hint="eastAsia"/>
          <w:sz w:val="28"/>
          <w:szCs w:val="28"/>
        </w:rPr>
        <w:t>三、评标办法</w:t>
      </w:r>
    </w:p>
    <w:p>
      <w:pPr>
        <w:spacing w:line="360" w:lineRule="auto"/>
        <w:ind w:firstLine="480" w:firstLineChars="200"/>
        <w:rPr>
          <w:rFonts w:ascii="宋体" w:cs="宋体"/>
          <w:sz w:val="24"/>
        </w:rPr>
      </w:pPr>
      <w:r>
        <w:rPr>
          <w:rFonts w:hint="eastAsia" w:ascii="宋体" w:hAnsi="宋体" w:cs="宋体"/>
          <w:sz w:val="24"/>
        </w:rPr>
        <w:t>本项目拟采用“</w:t>
      </w:r>
      <w:r>
        <w:rPr>
          <w:rFonts w:hint="eastAsia" w:ascii="宋体" w:hAnsi="宋体"/>
          <w:sz w:val="24"/>
        </w:rPr>
        <w:t>综合评分法</w:t>
      </w:r>
      <w:r>
        <w:rPr>
          <w:rFonts w:hint="eastAsia" w:ascii="宋体" w:hAnsi="宋体" w:cs="宋体"/>
          <w:sz w:val="24"/>
        </w:rPr>
        <w:t>”方式进行评审，</w:t>
      </w:r>
      <w:r>
        <w:rPr>
          <w:rFonts w:hint="eastAsia" w:ascii="宋体" w:hAnsi="宋体"/>
          <w:sz w:val="24"/>
        </w:rPr>
        <w:t>本次评标为百分制，总分为</w:t>
      </w:r>
      <w:r>
        <w:rPr>
          <w:rFonts w:ascii="宋体" w:hAnsi="宋体"/>
          <w:sz w:val="24"/>
        </w:rPr>
        <w:t>100</w:t>
      </w:r>
      <w:r>
        <w:rPr>
          <w:rFonts w:hint="eastAsia" w:ascii="宋体" w:hAnsi="宋体"/>
          <w:sz w:val="24"/>
        </w:rPr>
        <w:t>分，其中价格占10分，商务占6</w:t>
      </w:r>
      <w:r>
        <w:rPr>
          <w:rFonts w:ascii="宋体" w:hAnsi="宋体"/>
          <w:sz w:val="24"/>
        </w:rPr>
        <w:t>0</w:t>
      </w:r>
      <w:r>
        <w:rPr>
          <w:rFonts w:hint="eastAsia" w:ascii="宋体" w:hAnsi="宋体"/>
          <w:sz w:val="24"/>
        </w:rPr>
        <w:t>分，技术及服务占</w:t>
      </w:r>
      <w:r>
        <w:rPr>
          <w:rFonts w:ascii="宋体" w:hAnsi="宋体"/>
          <w:sz w:val="24"/>
        </w:rPr>
        <w:t>30</w:t>
      </w:r>
      <w:r>
        <w:rPr>
          <w:rFonts w:hint="eastAsia" w:ascii="宋体" w:hAnsi="宋体"/>
          <w:sz w:val="24"/>
        </w:rPr>
        <w:t>分</w:t>
      </w:r>
      <w:r>
        <w:rPr>
          <w:rFonts w:hint="eastAsia" w:ascii="宋体" w:hAnsi="宋体" w:cs="宋体"/>
          <w:sz w:val="24"/>
        </w:rPr>
        <w:t>。</w:t>
      </w:r>
    </w:p>
    <w:p>
      <w:pPr>
        <w:spacing w:line="500" w:lineRule="exact"/>
        <w:ind w:firstLine="480"/>
        <w:rPr>
          <w:rFonts w:ascii="宋体"/>
          <w:sz w:val="24"/>
        </w:rPr>
      </w:pPr>
      <w:r>
        <w:rPr>
          <w:rFonts w:hint="eastAsia" w:ascii="宋体" w:hAnsi="宋体"/>
          <w:sz w:val="24"/>
        </w:rPr>
        <w:t>评标委员会评审分为：资格和符合性评审、商务评议、技术评议和价格评议。</w:t>
      </w:r>
    </w:p>
    <w:p>
      <w:pPr>
        <w:numPr>
          <w:ilvl w:val="0"/>
          <w:numId w:val="1"/>
        </w:numPr>
        <w:spacing w:line="500" w:lineRule="exact"/>
        <w:ind w:firstLine="480"/>
        <w:rPr>
          <w:rFonts w:ascii="宋体"/>
          <w:sz w:val="24"/>
        </w:rPr>
      </w:pPr>
      <w:r>
        <w:rPr>
          <w:rFonts w:hint="eastAsia" w:ascii="宋体" w:hAnsi="宋体"/>
          <w:sz w:val="24"/>
        </w:rPr>
        <w:t>资格和符合性评审</w:t>
      </w:r>
    </w:p>
    <w:p>
      <w:pPr>
        <w:spacing w:line="500" w:lineRule="exact"/>
        <w:ind w:firstLine="480"/>
        <w:rPr>
          <w:rFonts w:ascii="宋体"/>
          <w:sz w:val="24"/>
        </w:rPr>
      </w:pPr>
      <w:r>
        <w:rPr>
          <w:rFonts w:hint="eastAsia" w:ascii="宋体" w:hAnsi="宋体"/>
          <w:sz w:val="24"/>
        </w:rPr>
        <w:t>（</w:t>
      </w:r>
      <w:r>
        <w:rPr>
          <w:rFonts w:ascii="宋体" w:hAnsi="宋体"/>
          <w:sz w:val="24"/>
        </w:rPr>
        <w:t>1</w:t>
      </w:r>
      <w:r>
        <w:rPr>
          <w:rFonts w:hint="eastAsia" w:ascii="宋体" w:hAnsi="宋体"/>
          <w:sz w:val="24"/>
        </w:rPr>
        <w:t>）评标委员会将审查投标文件是否完整、总体编排是否有序、文件签署是否合法合格等。</w:t>
      </w:r>
    </w:p>
    <w:p>
      <w:pPr>
        <w:spacing w:line="500" w:lineRule="exact"/>
        <w:ind w:firstLine="480"/>
        <w:rPr>
          <w:rFonts w:ascii="宋体"/>
          <w:sz w:val="24"/>
        </w:rPr>
      </w:pPr>
      <w:r>
        <w:rPr>
          <w:rFonts w:hint="eastAsia" w:ascii="宋体" w:hAnsi="宋体"/>
          <w:sz w:val="24"/>
        </w:rPr>
        <w:t>（</w:t>
      </w:r>
      <w:r>
        <w:rPr>
          <w:rFonts w:ascii="宋体" w:hAnsi="宋体"/>
          <w:sz w:val="24"/>
        </w:rPr>
        <w:t>2</w:t>
      </w:r>
      <w:r>
        <w:rPr>
          <w:rFonts w:hint="eastAsia" w:ascii="宋体" w:hAnsi="宋体"/>
          <w:sz w:val="24"/>
        </w:rPr>
        <w:t>）在详细评标之前，评标委员会要审查每份投标文件是否实质上响应了遴选文件的要求。实质上响应的投标文件应该是与遴选文件要求的关键条款、条件和规格相符没有重大偏离的投标文件。对关键条款的偏离、保留或反对将被认定为是实质上的不响应。评标委员会决定投标的响应性只根据投标文件本身的真实无误的内容，而不依据外部的证据。</w:t>
      </w:r>
    </w:p>
    <w:p>
      <w:pPr>
        <w:spacing w:line="500" w:lineRule="exact"/>
        <w:ind w:firstLine="480"/>
        <w:rPr>
          <w:rFonts w:ascii="宋体"/>
          <w:sz w:val="24"/>
        </w:rPr>
      </w:pPr>
      <w:r>
        <w:rPr>
          <w:rFonts w:hint="eastAsia" w:ascii="宋体" w:hAnsi="宋体"/>
          <w:sz w:val="24"/>
        </w:rPr>
        <w:t>（</w:t>
      </w:r>
      <w:r>
        <w:rPr>
          <w:rFonts w:ascii="宋体" w:hAnsi="宋体"/>
          <w:sz w:val="24"/>
        </w:rPr>
        <w:t>3</w:t>
      </w:r>
      <w:r>
        <w:rPr>
          <w:rFonts w:hint="eastAsia" w:ascii="宋体" w:hAnsi="宋体"/>
          <w:sz w:val="24"/>
        </w:rPr>
        <w:t>）实质上没有响应遴选文件要求的投标将被视为无效投标。投标人不得通过修正或撤销不合要求的偏离从而使其投标文件成为实质上响应的投标。评标委员会在资格和符合性检查时，如发现下列情形之一的，投标文件将被视为无效投标：</w:t>
      </w:r>
    </w:p>
    <w:p>
      <w:pPr>
        <w:spacing w:line="500" w:lineRule="exact"/>
        <w:ind w:firstLine="480"/>
        <w:rPr>
          <w:rFonts w:ascii="宋体"/>
          <w:sz w:val="24"/>
        </w:rPr>
      </w:pPr>
      <w:r>
        <w:rPr>
          <w:rFonts w:hint="eastAsia" w:ascii="宋体" w:hAnsi="宋体"/>
          <w:sz w:val="24"/>
        </w:rPr>
        <w:t>①不具备遴选文件中规定资格要求的；</w:t>
      </w:r>
    </w:p>
    <w:p>
      <w:pPr>
        <w:spacing w:line="500" w:lineRule="exact"/>
        <w:ind w:firstLine="480"/>
        <w:rPr>
          <w:rFonts w:ascii="宋体"/>
          <w:sz w:val="24"/>
        </w:rPr>
      </w:pPr>
      <w:r>
        <w:rPr>
          <w:rFonts w:hint="eastAsia" w:ascii="宋体" w:hAnsi="宋体"/>
          <w:sz w:val="24"/>
        </w:rPr>
        <w:t>②未按照遴选文件规定要求密封、签署、盖章的；</w:t>
      </w:r>
    </w:p>
    <w:p>
      <w:pPr>
        <w:spacing w:line="500" w:lineRule="exact"/>
        <w:ind w:firstLine="480"/>
        <w:rPr>
          <w:rFonts w:ascii="宋体"/>
          <w:sz w:val="24"/>
        </w:rPr>
      </w:pPr>
      <w:r>
        <w:rPr>
          <w:rFonts w:hint="eastAsia" w:ascii="宋体" w:hAnsi="宋体"/>
          <w:sz w:val="24"/>
        </w:rPr>
        <w:t>③不符合法律、法规和遴选文件中规定的其他实质性要求。</w:t>
      </w:r>
    </w:p>
    <w:p>
      <w:pPr>
        <w:numPr>
          <w:ilvl w:val="0"/>
          <w:numId w:val="1"/>
        </w:numPr>
        <w:spacing w:line="500" w:lineRule="exact"/>
        <w:ind w:firstLine="480"/>
        <w:rPr>
          <w:rFonts w:ascii="宋体"/>
          <w:sz w:val="24"/>
        </w:rPr>
      </w:pPr>
      <w:r>
        <w:rPr>
          <w:rFonts w:hint="eastAsia" w:ascii="宋体" w:hAnsi="宋体"/>
          <w:sz w:val="24"/>
        </w:rPr>
        <w:t>投标的评价</w:t>
      </w:r>
    </w:p>
    <w:p>
      <w:pPr>
        <w:spacing w:line="500" w:lineRule="exact"/>
        <w:ind w:firstLine="480"/>
        <w:rPr>
          <w:rFonts w:ascii="宋体"/>
          <w:sz w:val="24"/>
        </w:rPr>
      </w:pPr>
      <w:r>
        <w:rPr>
          <w:rFonts w:hint="eastAsia" w:ascii="宋体" w:hAnsi="宋体"/>
          <w:sz w:val="24"/>
        </w:rPr>
        <w:t>评标委员会只对资格和符合性评审合格的投标文件进行详细</w:t>
      </w:r>
      <w:r>
        <w:rPr>
          <w:rFonts w:hint="eastAsia" w:ascii="宋体" w:hAnsi="宋体" w:cs="宋体"/>
          <w:sz w:val="24"/>
        </w:rPr>
        <w:t>评价和比较</w:t>
      </w:r>
      <w:r>
        <w:rPr>
          <w:rFonts w:hint="eastAsia" w:ascii="宋体" w:hAnsi="宋体"/>
          <w:sz w:val="24"/>
        </w:rPr>
        <w:t>。</w:t>
      </w:r>
    </w:p>
    <w:p>
      <w:pPr>
        <w:numPr>
          <w:ilvl w:val="0"/>
          <w:numId w:val="1"/>
        </w:numPr>
        <w:spacing w:line="500" w:lineRule="exact"/>
        <w:ind w:firstLine="480"/>
        <w:rPr>
          <w:rFonts w:ascii="宋体"/>
          <w:sz w:val="24"/>
        </w:rPr>
      </w:pPr>
      <w:r>
        <w:rPr>
          <w:rFonts w:hint="eastAsia" w:ascii="宋体" w:hAnsi="宋体"/>
          <w:sz w:val="24"/>
        </w:rPr>
        <w:t>价格评议</w:t>
      </w:r>
    </w:p>
    <w:p>
      <w:pPr>
        <w:spacing w:line="500" w:lineRule="exact"/>
        <w:ind w:firstLine="480"/>
        <w:rPr>
          <w:rFonts w:ascii="宋体"/>
          <w:sz w:val="24"/>
        </w:rPr>
      </w:pPr>
      <w:r>
        <w:rPr>
          <w:rFonts w:hint="eastAsia" w:ascii="宋体" w:hAnsi="宋体"/>
          <w:sz w:val="24"/>
        </w:rPr>
        <w:t>按遴选文件要求提供报价承诺书，不提供或存在恶意争竞折扣的，评标专家有权取消其评审资格。</w:t>
      </w:r>
    </w:p>
    <w:p>
      <w:pPr>
        <w:numPr>
          <w:ilvl w:val="0"/>
          <w:numId w:val="1"/>
        </w:numPr>
        <w:spacing w:line="500" w:lineRule="exact"/>
        <w:ind w:firstLine="480"/>
        <w:rPr>
          <w:rFonts w:ascii="宋体"/>
          <w:sz w:val="24"/>
        </w:rPr>
      </w:pPr>
      <w:r>
        <w:rPr>
          <w:rFonts w:hint="eastAsia" w:ascii="宋体" w:hAnsi="宋体"/>
          <w:sz w:val="24"/>
        </w:rPr>
        <w:t>定标原则</w:t>
      </w:r>
    </w:p>
    <w:p>
      <w:pPr>
        <w:spacing w:line="500" w:lineRule="exact"/>
        <w:ind w:firstLine="480" w:firstLineChars="200"/>
        <w:rPr>
          <w:rFonts w:ascii="宋体"/>
          <w:sz w:val="24"/>
        </w:rPr>
      </w:pPr>
      <w:r>
        <w:rPr>
          <w:rFonts w:hint="eastAsia" w:ascii="宋体" w:hAnsi="宋体"/>
          <w:sz w:val="24"/>
        </w:rPr>
        <w:t>根据评标委员会评审后推荐排序及我院实际情况等因素综合考量而定。具体入围详细名单会在中标公示中予以公布。</w:t>
      </w:r>
    </w:p>
    <w:p>
      <w:pPr>
        <w:pStyle w:val="3"/>
        <w:spacing w:line="360" w:lineRule="auto"/>
        <w:rPr>
          <w:rFonts w:ascii="宋体" w:cs="宋体"/>
          <w:szCs w:val="24"/>
        </w:rPr>
      </w:pPr>
      <w:r>
        <w:rPr>
          <w:rFonts w:hint="eastAsia" w:ascii="宋体" w:hAnsi="宋体" w:cs="宋体"/>
          <w:szCs w:val="24"/>
        </w:rPr>
        <w:t>四、评分标准</w:t>
      </w:r>
    </w:p>
    <w:p>
      <w:pPr>
        <w:numPr>
          <w:ilvl w:val="0"/>
          <w:numId w:val="2"/>
        </w:numPr>
        <w:spacing w:line="500" w:lineRule="exact"/>
        <w:ind w:firstLine="480"/>
        <w:rPr>
          <w:rFonts w:ascii="宋体"/>
          <w:sz w:val="24"/>
        </w:rPr>
      </w:pPr>
      <w:r>
        <w:rPr>
          <w:rFonts w:hint="eastAsia" w:ascii="宋体" w:hAnsi="宋体"/>
          <w:sz w:val="24"/>
        </w:rPr>
        <w:t>资格和符合性审查</w:t>
      </w:r>
    </w:p>
    <w:p>
      <w:pPr>
        <w:spacing w:line="500" w:lineRule="exact"/>
        <w:rPr>
          <w:rFonts w:ascii="宋体"/>
          <w:sz w:val="24"/>
        </w:rPr>
      </w:pPr>
    </w:p>
    <w:tbl>
      <w:tblPr>
        <w:tblStyle w:val="9"/>
        <w:tblW w:w="8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1650"/>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694" w:type="dxa"/>
            <w:gridSpan w:val="2"/>
            <w:vAlign w:val="center"/>
          </w:tcPr>
          <w:p>
            <w:pPr>
              <w:jc w:val="center"/>
              <w:rPr>
                <w:rFonts w:ascii="宋体"/>
                <w:szCs w:val="21"/>
              </w:rPr>
            </w:pPr>
            <w:r>
              <w:rPr>
                <w:rFonts w:hint="eastAsia" w:ascii="宋体" w:hAnsi="宋体"/>
                <w:szCs w:val="21"/>
              </w:rPr>
              <w:t>审查项目</w:t>
            </w:r>
          </w:p>
        </w:tc>
        <w:tc>
          <w:tcPr>
            <w:tcW w:w="6158" w:type="dxa"/>
            <w:vAlign w:val="center"/>
          </w:tcPr>
          <w:p>
            <w:pPr>
              <w:jc w:val="center"/>
              <w:rPr>
                <w:rFonts w:ascii="宋体"/>
                <w:szCs w:val="21"/>
              </w:rPr>
            </w:pPr>
            <w:r>
              <w:rPr>
                <w:rFonts w:hint="eastAsia" w:ascii="宋体" w:hAnsi="宋体"/>
                <w:szCs w:val="21"/>
              </w:rPr>
              <w:t>审核内容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2694" w:type="dxa"/>
            <w:gridSpan w:val="2"/>
            <w:vMerge w:val="restart"/>
            <w:vAlign w:val="center"/>
          </w:tcPr>
          <w:p>
            <w:pPr>
              <w:jc w:val="center"/>
              <w:rPr>
                <w:rFonts w:ascii="宋体"/>
                <w:szCs w:val="21"/>
              </w:rPr>
            </w:pPr>
            <w:r>
              <w:rPr>
                <w:rFonts w:hint="eastAsia" w:ascii="宋体" w:hAnsi="宋体"/>
                <w:szCs w:val="21"/>
              </w:rPr>
              <w:t>资格审查</w:t>
            </w:r>
          </w:p>
        </w:tc>
        <w:tc>
          <w:tcPr>
            <w:tcW w:w="6158" w:type="dxa"/>
            <w:vAlign w:val="center"/>
          </w:tcPr>
          <w:p>
            <w:pPr>
              <w:rPr>
                <w:rFonts w:ascii="宋体"/>
                <w:szCs w:val="21"/>
              </w:rPr>
            </w:pPr>
            <w:r>
              <w:rPr>
                <w:rFonts w:hint="eastAsia" w:ascii="宋体" w:hAnsi="宋体"/>
                <w:szCs w:val="21"/>
              </w:rPr>
              <w:t>投标人必须符合《中华人民共和国政府采购法》第二十二条要求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exact"/>
          <w:jc w:val="center"/>
        </w:trPr>
        <w:tc>
          <w:tcPr>
            <w:tcW w:w="2694" w:type="dxa"/>
            <w:gridSpan w:val="2"/>
            <w:vMerge w:val="continue"/>
            <w:vAlign w:val="center"/>
          </w:tcPr>
          <w:p>
            <w:pPr>
              <w:rPr>
                <w:rFonts w:ascii="宋体"/>
                <w:szCs w:val="21"/>
              </w:rPr>
            </w:pPr>
          </w:p>
        </w:tc>
        <w:tc>
          <w:tcPr>
            <w:tcW w:w="6158" w:type="dxa"/>
            <w:vAlign w:val="center"/>
          </w:tcPr>
          <w:p>
            <w:pPr>
              <w:adjustRightInd w:val="0"/>
              <w:snapToGrid w:val="0"/>
              <w:spacing w:line="400" w:lineRule="exact"/>
              <w:rPr>
                <w:rFonts w:ascii="宋体"/>
                <w:szCs w:val="21"/>
              </w:rPr>
            </w:pPr>
            <w:r>
              <w:rPr>
                <w:rFonts w:hint="eastAsia" w:ascii="宋体"/>
                <w:szCs w:val="21"/>
              </w:rPr>
              <w:t>投标单位应提供法人营业执照、税务登记证、组织机构代码证或三证合一的营业执照（范围应包含人力资源中介服务或劳务派遣或家政服务相关业务）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2694" w:type="dxa"/>
            <w:gridSpan w:val="2"/>
            <w:vMerge w:val="continue"/>
            <w:vAlign w:val="center"/>
          </w:tcPr>
          <w:p>
            <w:pPr>
              <w:rPr>
                <w:rFonts w:ascii="宋体"/>
                <w:szCs w:val="21"/>
              </w:rPr>
            </w:pPr>
          </w:p>
        </w:tc>
        <w:tc>
          <w:tcPr>
            <w:tcW w:w="6158" w:type="dxa"/>
            <w:vAlign w:val="center"/>
          </w:tcPr>
          <w:p>
            <w:pPr>
              <w:adjustRightInd w:val="0"/>
              <w:snapToGrid w:val="0"/>
              <w:spacing w:line="400" w:lineRule="exact"/>
              <w:rPr>
                <w:rFonts w:ascii="宋体"/>
                <w:szCs w:val="21"/>
              </w:rPr>
            </w:pPr>
            <w:r>
              <w:rPr>
                <w:rFonts w:hint="eastAsia" w:ascii="宋体" w:hAnsi="宋体"/>
                <w:szCs w:val="21"/>
              </w:rPr>
              <w:t>投标人参加政府采购活动前三年内未被列入“信用中国”网站</w:t>
            </w:r>
            <w:r>
              <w:rPr>
                <w:rFonts w:ascii="宋体" w:hAnsi="宋体"/>
                <w:szCs w:val="21"/>
              </w:rPr>
              <w:t>(www.creditchina.gov.cn)</w:t>
            </w:r>
            <w:r>
              <w:rPr>
                <w:rFonts w:hint="eastAsia" w:ascii="宋体" w:hAnsi="宋体"/>
                <w:szCs w:val="21"/>
              </w:rPr>
              <w:t>失信被执行人、重大税收违法案件当事人、政府采购严重违法失信行为记录名单和“中国政府采购”网站（</w:t>
            </w:r>
            <w:r>
              <w:rPr>
                <w:rFonts w:ascii="宋体" w:hAnsi="宋体"/>
                <w:szCs w:val="21"/>
              </w:rPr>
              <w:t>www.ccgp.gov.cn</w:t>
            </w:r>
            <w:r>
              <w:rPr>
                <w:rFonts w:hint="eastAsia" w:ascii="宋体" w:hAnsi="宋体"/>
                <w:szCs w:val="21"/>
              </w:rPr>
              <w:t>）政府采购严重违法失信行为记录名单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2694" w:type="dxa"/>
            <w:gridSpan w:val="2"/>
            <w:vMerge w:val="continue"/>
            <w:vAlign w:val="center"/>
          </w:tcPr>
          <w:p>
            <w:pPr>
              <w:rPr>
                <w:rFonts w:ascii="宋体"/>
                <w:szCs w:val="21"/>
              </w:rPr>
            </w:pPr>
          </w:p>
        </w:tc>
        <w:tc>
          <w:tcPr>
            <w:tcW w:w="6158" w:type="dxa"/>
            <w:vAlign w:val="center"/>
          </w:tcPr>
          <w:p>
            <w:pPr>
              <w:adjustRightInd w:val="0"/>
              <w:snapToGrid w:val="0"/>
              <w:spacing w:line="400" w:lineRule="exact"/>
              <w:rPr>
                <w:rFonts w:ascii="宋体"/>
                <w:szCs w:val="21"/>
              </w:rPr>
            </w:pPr>
            <w:r>
              <w:rPr>
                <w:rFonts w:hint="eastAsia" w:ascii="宋体" w:hAnsi="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44" w:type="dxa"/>
            <w:vMerge w:val="restart"/>
            <w:vAlign w:val="center"/>
          </w:tcPr>
          <w:p>
            <w:pPr>
              <w:jc w:val="center"/>
              <w:rPr>
                <w:rFonts w:hAnsi="宋体"/>
                <w:szCs w:val="21"/>
                <w:shd w:val="clear" w:color="auto" w:fill="FFFFFF"/>
              </w:rPr>
            </w:pPr>
            <w:r>
              <w:rPr>
                <w:rFonts w:hint="eastAsia" w:ascii="宋体" w:hAnsi="宋体"/>
                <w:szCs w:val="21"/>
              </w:rPr>
              <w:t>符合性审查</w:t>
            </w:r>
          </w:p>
        </w:tc>
        <w:tc>
          <w:tcPr>
            <w:tcW w:w="1650" w:type="dxa"/>
            <w:vAlign w:val="center"/>
          </w:tcPr>
          <w:p>
            <w:pPr>
              <w:rPr>
                <w:rFonts w:ascii="宋体"/>
                <w:szCs w:val="21"/>
              </w:rPr>
            </w:pPr>
            <w:r>
              <w:rPr>
                <w:rFonts w:hint="eastAsia" w:ascii="宋体" w:hAnsi="宋体"/>
                <w:szCs w:val="21"/>
              </w:rPr>
              <w:t>投标人名称</w:t>
            </w:r>
          </w:p>
        </w:tc>
        <w:tc>
          <w:tcPr>
            <w:tcW w:w="6158" w:type="dxa"/>
            <w:vAlign w:val="center"/>
          </w:tcPr>
          <w:p>
            <w:pPr>
              <w:rPr>
                <w:rFonts w:ascii="宋体"/>
                <w:szCs w:val="21"/>
              </w:rPr>
            </w:pPr>
            <w:r>
              <w:rPr>
                <w:rFonts w:hint="eastAsia" w:ascii="宋体" w:hAnsi="宋体"/>
                <w:szCs w:val="21"/>
              </w:rPr>
              <w:t>是否与营业执照一致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44" w:type="dxa"/>
            <w:vMerge w:val="continue"/>
          </w:tcPr>
          <w:p>
            <w:pPr>
              <w:rPr>
                <w:rFonts w:hAnsi="宋体"/>
                <w:b/>
                <w:szCs w:val="21"/>
                <w:shd w:val="clear" w:color="auto" w:fill="FFFFFF"/>
              </w:rPr>
            </w:pPr>
          </w:p>
        </w:tc>
        <w:tc>
          <w:tcPr>
            <w:tcW w:w="1650" w:type="dxa"/>
            <w:vAlign w:val="center"/>
          </w:tcPr>
          <w:p>
            <w:pPr>
              <w:rPr>
                <w:rFonts w:ascii="宋体"/>
                <w:szCs w:val="21"/>
              </w:rPr>
            </w:pPr>
            <w:r>
              <w:rPr>
                <w:rFonts w:hint="eastAsia" w:ascii="宋体" w:hAnsi="宋体"/>
                <w:szCs w:val="21"/>
              </w:rPr>
              <w:t>投标文件签署</w:t>
            </w:r>
          </w:p>
        </w:tc>
        <w:tc>
          <w:tcPr>
            <w:tcW w:w="6158" w:type="dxa"/>
            <w:vAlign w:val="center"/>
          </w:tcPr>
          <w:p>
            <w:pPr>
              <w:rPr>
                <w:rFonts w:ascii="宋体"/>
                <w:szCs w:val="21"/>
              </w:rPr>
            </w:pPr>
            <w:r>
              <w:rPr>
                <w:rFonts w:hint="eastAsia" w:ascii="宋体" w:hAnsi="宋体"/>
                <w:szCs w:val="21"/>
              </w:rPr>
              <w:t>是否按投标文件要求签字和盖章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44" w:type="dxa"/>
            <w:vMerge w:val="continue"/>
          </w:tcPr>
          <w:p>
            <w:pPr>
              <w:rPr>
                <w:rFonts w:hAnsi="宋体"/>
                <w:b/>
                <w:szCs w:val="21"/>
                <w:shd w:val="clear" w:color="auto" w:fill="FFFFFF"/>
              </w:rPr>
            </w:pPr>
          </w:p>
        </w:tc>
        <w:tc>
          <w:tcPr>
            <w:tcW w:w="1650" w:type="dxa"/>
            <w:vAlign w:val="center"/>
          </w:tcPr>
          <w:p>
            <w:pPr>
              <w:rPr>
                <w:rFonts w:ascii="宋体"/>
                <w:szCs w:val="21"/>
              </w:rPr>
            </w:pPr>
            <w:r>
              <w:rPr>
                <w:rFonts w:hint="eastAsia" w:ascii="宋体" w:hAnsi="宋体"/>
                <w:szCs w:val="21"/>
              </w:rPr>
              <w:t>投标有效期</w:t>
            </w:r>
          </w:p>
        </w:tc>
        <w:tc>
          <w:tcPr>
            <w:tcW w:w="6158" w:type="dxa"/>
            <w:vAlign w:val="center"/>
          </w:tcPr>
          <w:p>
            <w:pPr>
              <w:rPr>
                <w:rFonts w:ascii="宋体"/>
                <w:szCs w:val="21"/>
              </w:rPr>
            </w:pPr>
            <w:r>
              <w:rPr>
                <w:rFonts w:hint="eastAsia" w:ascii="宋体" w:hAnsi="宋体"/>
                <w:szCs w:val="21"/>
              </w:rPr>
              <w:t>是否符合遴选文件要求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044" w:type="dxa"/>
            <w:vMerge w:val="continue"/>
          </w:tcPr>
          <w:p>
            <w:pPr>
              <w:rPr>
                <w:rFonts w:hAnsi="宋体"/>
                <w:b/>
                <w:szCs w:val="21"/>
                <w:shd w:val="clear" w:color="auto" w:fill="FFFFFF"/>
              </w:rPr>
            </w:pPr>
          </w:p>
        </w:tc>
        <w:tc>
          <w:tcPr>
            <w:tcW w:w="1650" w:type="dxa"/>
            <w:vAlign w:val="center"/>
          </w:tcPr>
          <w:p>
            <w:pPr>
              <w:rPr>
                <w:rFonts w:ascii="宋体"/>
                <w:szCs w:val="21"/>
              </w:rPr>
            </w:pPr>
            <w:r>
              <w:rPr>
                <w:rFonts w:hint="eastAsia" w:ascii="宋体" w:hAnsi="宋体"/>
                <w:szCs w:val="21"/>
              </w:rPr>
              <w:t>投标报价</w:t>
            </w:r>
          </w:p>
        </w:tc>
        <w:tc>
          <w:tcPr>
            <w:tcW w:w="6158" w:type="dxa"/>
            <w:vAlign w:val="center"/>
          </w:tcPr>
          <w:p>
            <w:pPr>
              <w:rPr>
                <w:rFonts w:ascii="宋体"/>
                <w:szCs w:val="21"/>
              </w:rPr>
            </w:pPr>
            <w:r>
              <w:rPr>
                <w:rFonts w:hint="eastAsia" w:ascii="宋体" w:hAnsi="宋体"/>
                <w:szCs w:val="21"/>
              </w:rPr>
              <w:t>是否符合遴选文件要求提供报价承诺书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044" w:type="dxa"/>
            <w:vMerge w:val="continue"/>
          </w:tcPr>
          <w:p>
            <w:pPr>
              <w:rPr>
                <w:rFonts w:hAnsi="宋体"/>
                <w:b/>
                <w:szCs w:val="21"/>
                <w:shd w:val="clear" w:color="auto" w:fill="FFFFFF"/>
              </w:rPr>
            </w:pPr>
          </w:p>
        </w:tc>
        <w:tc>
          <w:tcPr>
            <w:tcW w:w="1650" w:type="dxa"/>
            <w:vAlign w:val="center"/>
          </w:tcPr>
          <w:p>
            <w:pPr>
              <w:rPr>
                <w:rFonts w:ascii="宋体"/>
                <w:szCs w:val="21"/>
              </w:rPr>
            </w:pPr>
            <w:r>
              <w:rPr>
                <w:rFonts w:hint="eastAsia" w:ascii="宋体" w:hAnsi="宋体"/>
                <w:szCs w:val="21"/>
              </w:rPr>
              <w:t>投标文件</w:t>
            </w:r>
          </w:p>
        </w:tc>
        <w:tc>
          <w:tcPr>
            <w:tcW w:w="6158" w:type="dxa"/>
            <w:vAlign w:val="center"/>
          </w:tcPr>
          <w:p>
            <w:pPr>
              <w:rPr>
                <w:rFonts w:ascii="宋体"/>
                <w:szCs w:val="21"/>
              </w:rPr>
            </w:pPr>
            <w:r>
              <w:rPr>
                <w:rFonts w:hint="eastAsia" w:ascii="宋体" w:hAnsi="宋体"/>
                <w:szCs w:val="21"/>
              </w:rPr>
              <w:t>是否按遴选文件要求格式编制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044" w:type="dxa"/>
            <w:vMerge w:val="continue"/>
          </w:tcPr>
          <w:p>
            <w:pPr>
              <w:rPr>
                <w:rFonts w:hAnsi="宋体"/>
                <w:b/>
                <w:szCs w:val="21"/>
                <w:shd w:val="clear" w:color="auto" w:fill="FFFFFF"/>
              </w:rPr>
            </w:pPr>
          </w:p>
        </w:tc>
        <w:tc>
          <w:tcPr>
            <w:tcW w:w="1650" w:type="dxa"/>
            <w:vAlign w:val="center"/>
          </w:tcPr>
          <w:p>
            <w:pPr>
              <w:rPr>
                <w:rFonts w:ascii="宋体"/>
                <w:b/>
                <w:bCs/>
                <w:szCs w:val="21"/>
              </w:rPr>
            </w:pPr>
            <w:r>
              <w:rPr>
                <w:rFonts w:hint="eastAsia" w:ascii="宋体" w:hAnsi="宋体"/>
                <w:szCs w:val="21"/>
              </w:rPr>
              <w:t>其他情形</w:t>
            </w:r>
          </w:p>
        </w:tc>
        <w:tc>
          <w:tcPr>
            <w:tcW w:w="6158" w:type="dxa"/>
            <w:vAlign w:val="center"/>
          </w:tcPr>
          <w:p>
            <w:pPr>
              <w:rPr>
                <w:rFonts w:ascii="宋体"/>
                <w:b/>
                <w:bCs/>
                <w:szCs w:val="21"/>
              </w:rPr>
            </w:pPr>
            <w:r>
              <w:rPr>
                <w:rFonts w:hint="eastAsia"/>
                <w:szCs w:val="21"/>
              </w:rPr>
              <w:t>不符合法律、法规和遴选文件中规定的其他实质性要求</w:t>
            </w:r>
          </w:p>
        </w:tc>
      </w:tr>
    </w:tbl>
    <w:p>
      <w:pPr>
        <w:spacing w:line="500" w:lineRule="exact"/>
        <w:rPr>
          <w:rFonts w:ascii="宋体"/>
          <w:sz w:val="24"/>
        </w:rPr>
      </w:pPr>
    </w:p>
    <w:p>
      <w:pPr>
        <w:numPr>
          <w:ilvl w:val="0"/>
          <w:numId w:val="2"/>
        </w:numPr>
        <w:spacing w:line="500" w:lineRule="exact"/>
        <w:ind w:firstLine="480"/>
        <w:rPr>
          <w:rFonts w:ascii="宋体" w:eastAsia="Times New Roman"/>
          <w:sz w:val="24"/>
        </w:rPr>
        <w:sectPr>
          <w:pgSz w:w="11906" w:h="16838"/>
          <w:pgMar w:top="1440" w:right="1800" w:bottom="1440" w:left="1800" w:header="851" w:footer="992" w:gutter="0"/>
          <w:cols w:space="425" w:num="1"/>
          <w:docGrid w:type="lines" w:linePitch="312" w:charSpace="0"/>
        </w:sectPr>
      </w:pPr>
    </w:p>
    <w:p>
      <w:pPr>
        <w:numPr>
          <w:ilvl w:val="0"/>
          <w:numId w:val="2"/>
        </w:numPr>
        <w:spacing w:line="500" w:lineRule="exact"/>
        <w:ind w:firstLine="480"/>
        <w:rPr>
          <w:rFonts w:ascii="宋体"/>
          <w:sz w:val="24"/>
        </w:rPr>
      </w:pPr>
      <w:r>
        <w:rPr>
          <w:rFonts w:hint="eastAsia" w:ascii="宋体" w:hAnsi="宋体"/>
          <w:sz w:val="24"/>
        </w:rPr>
        <w:t>评分细则</w:t>
      </w:r>
    </w:p>
    <w:tbl>
      <w:tblPr>
        <w:tblStyle w:val="9"/>
        <w:tblW w:w="974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02"/>
        <w:gridCol w:w="993"/>
        <w:gridCol w:w="901"/>
        <w:gridCol w:w="69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exact"/>
          <w:jc w:val="center"/>
        </w:trPr>
        <w:tc>
          <w:tcPr>
            <w:tcW w:w="902" w:type="dxa"/>
            <w:noWrap/>
            <w:vAlign w:val="center"/>
          </w:tcPr>
          <w:p>
            <w:pPr>
              <w:spacing w:line="340" w:lineRule="exact"/>
              <w:jc w:val="center"/>
              <w:rPr>
                <w:rFonts w:ascii="宋体"/>
                <w:b/>
                <w:szCs w:val="21"/>
              </w:rPr>
            </w:pPr>
            <w:r>
              <w:rPr>
                <w:rFonts w:hint="eastAsia" w:ascii="宋体" w:hAnsi="宋体"/>
                <w:b/>
                <w:szCs w:val="21"/>
              </w:rPr>
              <w:t>项目</w:t>
            </w:r>
          </w:p>
        </w:tc>
        <w:tc>
          <w:tcPr>
            <w:tcW w:w="993" w:type="dxa"/>
            <w:noWrap/>
            <w:vAlign w:val="center"/>
          </w:tcPr>
          <w:p>
            <w:pPr>
              <w:spacing w:line="340" w:lineRule="exact"/>
              <w:jc w:val="center"/>
              <w:rPr>
                <w:rFonts w:ascii="宋体"/>
                <w:b/>
                <w:szCs w:val="21"/>
              </w:rPr>
            </w:pPr>
            <w:r>
              <w:rPr>
                <w:rFonts w:hint="eastAsia" w:ascii="宋体" w:hAnsi="宋体"/>
                <w:b/>
                <w:szCs w:val="21"/>
              </w:rPr>
              <w:t>评审内容</w:t>
            </w:r>
          </w:p>
        </w:tc>
        <w:tc>
          <w:tcPr>
            <w:tcW w:w="901" w:type="dxa"/>
            <w:noWrap/>
            <w:vAlign w:val="center"/>
          </w:tcPr>
          <w:p>
            <w:pPr>
              <w:spacing w:line="340" w:lineRule="exact"/>
              <w:jc w:val="center"/>
              <w:rPr>
                <w:rFonts w:ascii="宋体"/>
                <w:b/>
                <w:szCs w:val="21"/>
              </w:rPr>
            </w:pPr>
            <w:r>
              <w:rPr>
                <w:rFonts w:hint="eastAsia" w:ascii="宋体" w:hAnsi="宋体"/>
                <w:b/>
                <w:szCs w:val="21"/>
              </w:rPr>
              <w:t>分值</w:t>
            </w:r>
          </w:p>
        </w:tc>
        <w:tc>
          <w:tcPr>
            <w:tcW w:w="6945" w:type="dxa"/>
            <w:noWrap/>
            <w:vAlign w:val="center"/>
          </w:tcPr>
          <w:p>
            <w:pPr>
              <w:spacing w:line="340" w:lineRule="exact"/>
              <w:jc w:val="center"/>
              <w:rPr>
                <w:rFonts w:ascii="宋体"/>
                <w:b/>
                <w:szCs w:val="21"/>
              </w:rPr>
            </w:pPr>
            <w:r>
              <w:rPr>
                <w:rFonts w:hint="eastAsia" w:ascii="宋体" w:hAnsi="宋体"/>
                <w:b/>
                <w:szCs w:val="21"/>
              </w:rPr>
              <w:t>评分细则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45" w:hRule="exact"/>
          <w:jc w:val="center"/>
        </w:trPr>
        <w:tc>
          <w:tcPr>
            <w:tcW w:w="902" w:type="dxa"/>
            <w:noWrap/>
            <w:vAlign w:val="center"/>
          </w:tcPr>
          <w:p>
            <w:pPr>
              <w:spacing w:line="340" w:lineRule="exact"/>
              <w:jc w:val="center"/>
              <w:rPr>
                <w:rFonts w:ascii="宋体"/>
                <w:szCs w:val="21"/>
              </w:rPr>
            </w:pPr>
            <w:r>
              <w:rPr>
                <w:rFonts w:hint="eastAsia" w:ascii="宋体" w:hAnsi="宋体"/>
                <w:szCs w:val="21"/>
              </w:rPr>
              <w:t>价格部分（1</w:t>
            </w:r>
            <w:r>
              <w:rPr>
                <w:rFonts w:ascii="宋体" w:hAnsi="宋体"/>
                <w:szCs w:val="21"/>
              </w:rPr>
              <w:t>0</w:t>
            </w:r>
            <w:r>
              <w:rPr>
                <w:rFonts w:hint="eastAsia" w:ascii="宋体" w:hAnsi="宋体"/>
                <w:szCs w:val="21"/>
              </w:rPr>
              <w:t>分）</w:t>
            </w: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价格</w:t>
            </w:r>
          </w:p>
        </w:tc>
        <w:tc>
          <w:tcPr>
            <w:tcW w:w="901" w:type="dxa"/>
            <w:noWrap/>
            <w:vAlign w:val="center"/>
          </w:tcPr>
          <w:p>
            <w:pPr>
              <w:snapToGrid w:val="0"/>
              <w:spacing w:line="360" w:lineRule="auto"/>
              <w:jc w:val="center"/>
              <w:rPr>
                <w:rFonts w:ascii="宋体" w:hAnsi="宋体" w:cs="宋体"/>
                <w:kern w:val="0"/>
                <w:szCs w:val="21"/>
              </w:rPr>
            </w:pPr>
            <w:r>
              <w:rPr>
                <w:rFonts w:hint="eastAsia" w:ascii="宋体" w:hAnsi="宋体" w:cs="宋体"/>
                <w:kern w:val="0"/>
                <w:szCs w:val="21"/>
              </w:rPr>
              <w:t>10</w:t>
            </w:r>
          </w:p>
        </w:tc>
        <w:tc>
          <w:tcPr>
            <w:tcW w:w="6945" w:type="dxa"/>
            <w:noWrap/>
            <w:vAlign w:val="center"/>
          </w:tcPr>
          <w:p>
            <w:pPr>
              <w:spacing w:line="276" w:lineRule="auto"/>
              <w:jc w:val="left"/>
              <w:rPr>
                <w:rFonts w:ascii="宋体"/>
                <w:color w:val="FF0000"/>
                <w:szCs w:val="21"/>
              </w:rPr>
            </w:pPr>
            <w:r>
              <w:rPr>
                <w:rFonts w:hint="eastAsia"/>
              </w:rPr>
              <w:t>通过了初步评审的投标文件均为有效投标</w:t>
            </w:r>
            <w:r>
              <w:rPr>
                <w:rFonts w:hint="eastAsia" w:ascii="宋体" w:hAnsi="宋体" w:cs="宋体"/>
                <w:szCs w:val="21"/>
              </w:rPr>
              <w:t>，有效投标的投标报价得分均为10分。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1" w:hRule="exact"/>
          <w:jc w:val="center"/>
        </w:trPr>
        <w:tc>
          <w:tcPr>
            <w:tcW w:w="902" w:type="dxa"/>
            <w:vMerge w:val="restart"/>
            <w:noWrap/>
            <w:vAlign w:val="center"/>
          </w:tcPr>
          <w:p>
            <w:pPr>
              <w:spacing w:line="340" w:lineRule="exact"/>
              <w:jc w:val="center"/>
              <w:rPr>
                <w:rFonts w:ascii="宋体"/>
                <w:szCs w:val="21"/>
              </w:rPr>
            </w:pPr>
            <w:r>
              <w:rPr>
                <w:rFonts w:hint="eastAsia" w:ascii="宋体" w:hAnsi="宋体"/>
                <w:szCs w:val="21"/>
              </w:rPr>
              <w:t>技术部分（6</w:t>
            </w:r>
            <w:r>
              <w:rPr>
                <w:rFonts w:ascii="宋体" w:hAnsi="宋体"/>
                <w:szCs w:val="21"/>
              </w:rPr>
              <w:t>0</w:t>
            </w:r>
            <w:r>
              <w:rPr>
                <w:rFonts w:hint="eastAsia" w:ascii="宋体" w:hAnsi="宋体"/>
                <w:szCs w:val="21"/>
              </w:rPr>
              <w:t>分）</w:t>
            </w:r>
          </w:p>
          <w:p>
            <w:pPr>
              <w:spacing w:line="340" w:lineRule="exact"/>
              <w:jc w:val="center"/>
              <w:rPr>
                <w:rFonts w:ascii="宋体"/>
                <w:szCs w:val="21"/>
              </w:rPr>
            </w:pPr>
          </w:p>
        </w:tc>
        <w:tc>
          <w:tcPr>
            <w:tcW w:w="993" w:type="dxa"/>
            <w:noWrap/>
            <w:vAlign w:val="center"/>
          </w:tcPr>
          <w:p>
            <w:pPr>
              <w:spacing w:line="340" w:lineRule="exact"/>
              <w:jc w:val="center"/>
              <w:rPr>
                <w:rFonts w:ascii="宋体"/>
                <w:szCs w:val="21"/>
              </w:rPr>
            </w:pPr>
            <w:r>
              <w:rPr>
                <w:rFonts w:hint="eastAsia" w:ascii="宋体" w:hAnsi="宋体"/>
                <w:szCs w:val="21"/>
              </w:rPr>
              <w:t>企业内部管理制度</w:t>
            </w:r>
          </w:p>
        </w:tc>
        <w:tc>
          <w:tcPr>
            <w:tcW w:w="901" w:type="dxa"/>
            <w:noWrap/>
            <w:vAlign w:val="center"/>
          </w:tcPr>
          <w:p>
            <w:pPr>
              <w:spacing w:line="340" w:lineRule="exact"/>
              <w:jc w:val="center"/>
              <w:rPr>
                <w:rFonts w:ascii="宋体" w:hAnsi="宋体"/>
                <w:szCs w:val="21"/>
              </w:rPr>
            </w:pPr>
            <w:r>
              <w:rPr>
                <w:rFonts w:ascii="宋体" w:hAnsi="宋体"/>
                <w:szCs w:val="21"/>
              </w:rPr>
              <w:t>5</w:t>
            </w:r>
          </w:p>
        </w:tc>
        <w:tc>
          <w:tcPr>
            <w:tcW w:w="6945" w:type="dxa"/>
            <w:tcBorders>
              <w:bottom w:val="single" w:color="auto" w:sz="4" w:space="0"/>
            </w:tcBorders>
            <w:noWrap/>
            <w:vAlign w:val="center"/>
          </w:tcPr>
          <w:p>
            <w:pPr>
              <w:spacing w:line="340" w:lineRule="exact"/>
              <w:jc w:val="left"/>
              <w:rPr>
                <w:rFonts w:ascii="宋体"/>
                <w:szCs w:val="21"/>
              </w:rPr>
            </w:pPr>
            <w:r>
              <w:rPr>
                <w:rFonts w:hint="eastAsia" w:ascii="宋体" w:hAnsi="宋体"/>
                <w:szCs w:val="21"/>
              </w:rPr>
              <w:t>企业管理制度健全，质量管理制度，财务管理制度，风险管理制度，经营管理制度，廉政管理制度综合评比，科学合理得</w:t>
            </w:r>
            <w:r>
              <w:rPr>
                <w:rFonts w:ascii="宋体" w:hAnsi="宋体"/>
                <w:szCs w:val="21"/>
              </w:rPr>
              <w:t>5</w:t>
            </w:r>
            <w:r>
              <w:rPr>
                <w:rFonts w:hint="eastAsia" w:ascii="宋体" w:hAnsi="宋体"/>
                <w:szCs w:val="21"/>
              </w:rPr>
              <w:t>分，基本合理得</w:t>
            </w:r>
            <w:r>
              <w:rPr>
                <w:rFonts w:ascii="宋体" w:hAnsi="宋体"/>
                <w:szCs w:val="21"/>
              </w:rPr>
              <w:t>3</w:t>
            </w:r>
            <w:r>
              <w:rPr>
                <w:rFonts w:hint="eastAsia" w:ascii="宋体" w:hAnsi="宋体"/>
                <w:szCs w:val="21"/>
              </w:rPr>
              <w:t>分，其他的得</w:t>
            </w:r>
            <w:r>
              <w:rPr>
                <w:rFonts w:ascii="宋体" w:hAnsi="宋体"/>
                <w:szCs w:val="21"/>
              </w:rPr>
              <w:t>1</w:t>
            </w:r>
            <w:r>
              <w:rPr>
                <w:rFonts w:hint="eastAsia" w:ascii="宋体" w:hAnsi="宋体"/>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7" w:hRule="exac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工作</w:t>
            </w:r>
            <w:r>
              <w:rPr>
                <w:rFonts w:ascii="宋体" w:hAnsi="宋体" w:cs="宋体"/>
                <w:kern w:val="0"/>
                <w:szCs w:val="21"/>
              </w:rPr>
              <w:t xml:space="preserve">  </w:t>
            </w:r>
            <w:r>
              <w:rPr>
                <w:rFonts w:hint="eastAsia" w:ascii="宋体" w:hAnsi="宋体" w:cs="宋体"/>
                <w:kern w:val="0"/>
                <w:szCs w:val="21"/>
              </w:rPr>
              <w:t>职责</w:t>
            </w:r>
          </w:p>
        </w:tc>
        <w:tc>
          <w:tcPr>
            <w:tcW w:w="901" w:type="dxa"/>
            <w:noWrap/>
            <w:vAlign w:val="center"/>
          </w:tcPr>
          <w:p>
            <w:pPr>
              <w:snapToGrid w:val="0"/>
              <w:spacing w:line="360" w:lineRule="auto"/>
              <w:jc w:val="center"/>
              <w:rPr>
                <w:rFonts w:ascii="宋体" w:cs="宋体"/>
                <w:kern w:val="0"/>
                <w:szCs w:val="21"/>
              </w:rPr>
            </w:pPr>
            <w:r>
              <w:rPr>
                <w:rFonts w:ascii="宋体" w:hAnsi="宋体" w:cs="宋体"/>
                <w:kern w:val="0"/>
                <w:szCs w:val="21"/>
              </w:rPr>
              <w:t>10</w:t>
            </w:r>
          </w:p>
        </w:tc>
        <w:tc>
          <w:tcPr>
            <w:tcW w:w="6945" w:type="dxa"/>
            <w:tcBorders>
              <w:bottom w:val="single" w:color="auto" w:sz="4" w:space="0"/>
            </w:tcBorders>
            <w:noWrap/>
            <w:vAlign w:val="center"/>
          </w:tcPr>
          <w:p>
            <w:pPr>
              <w:snapToGrid w:val="0"/>
              <w:rPr>
                <w:rFonts w:ascii="宋体" w:cs="宋体"/>
                <w:kern w:val="0"/>
                <w:szCs w:val="21"/>
              </w:rPr>
            </w:pPr>
            <w:r>
              <w:rPr>
                <w:rFonts w:hint="eastAsia" w:ascii="宋体" w:hAnsi="宋体" w:cs="宋体"/>
                <w:kern w:val="0"/>
                <w:szCs w:val="21"/>
              </w:rPr>
              <w:t>有完善、科学的工作职责，综合评比科学合理得</w:t>
            </w:r>
            <w:r>
              <w:rPr>
                <w:rFonts w:ascii="宋体" w:hAnsi="宋体" w:cs="宋体"/>
                <w:kern w:val="0"/>
                <w:szCs w:val="21"/>
              </w:rPr>
              <w:t>10</w:t>
            </w:r>
            <w:r>
              <w:rPr>
                <w:rFonts w:hint="eastAsia" w:ascii="宋体" w:hAnsi="宋体" w:cs="宋体"/>
                <w:kern w:val="0"/>
                <w:szCs w:val="21"/>
              </w:rPr>
              <w:t>分，基本合理得</w:t>
            </w:r>
            <w:r>
              <w:rPr>
                <w:rFonts w:ascii="宋体" w:hAnsi="宋体" w:cs="宋体"/>
                <w:kern w:val="0"/>
                <w:szCs w:val="21"/>
              </w:rPr>
              <w:t>7</w:t>
            </w:r>
            <w:r>
              <w:rPr>
                <w:rFonts w:hint="eastAsia" w:ascii="宋体" w:hAnsi="宋体" w:cs="宋体"/>
                <w:kern w:val="0"/>
                <w:szCs w:val="21"/>
              </w:rPr>
              <w:t>分，设备配置较合理得的</w:t>
            </w:r>
            <w:r>
              <w:rPr>
                <w:rFonts w:ascii="宋体" w:hAnsi="宋体" w:cs="宋体"/>
                <w:kern w:val="0"/>
                <w:szCs w:val="21"/>
              </w:rPr>
              <w:t>5</w:t>
            </w:r>
            <w:r>
              <w:rPr>
                <w:rFonts w:hint="eastAsia" w:ascii="宋体" w:hAnsi="宋体" w:cs="宋体"/>
                <w:kern w:val="0"/>
                <w:szCs w:val="21"/>
              </w:rPr>
              <w:t>分，其他的得</w:t>
            </w:r>
            <w:r>
              <w:rPr>
                <w:rFonts w:ascii="宋体" w:hAnsi="宋体" w:cs="宋体"/>
                <w:kern w:val="0"/>
                <w:szCs w:val="21"/>
              </w:rPr>
              <w:t>3</w:t>
            </w:r>
            <w:r>
              <w:rPr>
                <w:rFonts w:hint="eastAsia" w:ascii="宋体" w:hAnsi="宋体" w:cs="宋体"/>
                <w:kern w:val="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64" w:hRule="exac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培训计划</w:t>
            </w: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6945" w:type="dxa"/>
            <w:tcBorders>
              <w:bottom w:val="single" w:color="auto" w:sz="4" w:space="0"/>
            </w:tcBorders>
            <w:noWrap/>
            <w:vAlign w:val="center"/>
          </w:tcPr>
          <w:p>
            <w:pPr>
              <w:snapToGrid w:val="0"/>
              <w:spacing w:line="360" w:lineRule="auto"/>
              <w:ind w:left="-4" w:leftChars="-2" w:firstLine="2" w:firstLineChars="1"/>
              <w:rPr>
                <w:rFonts w:hint="eastAsia" w:ascii="宋体" w:eastAsia="宋体" w:cs="宋体"/>
                <w:kern w:val="0"/>
                <w:szCs w:val="21"/>
                <w:lang w:eastAsia="zh-CN"/>
              </w:rPr>
            </w:pPr>
            <w:r>
              <w:rPr>
                <w:rFonts w:hint="eastAsia" w:ascii="宋体" w:hAnsi="宋体" w:cs="宋体"/>
                <w:kern w:val="0"/>
                <w:szCs w:val="21"/>
              </w:rPr>
              <w:t>根据供应商提供完善的培训计</w:t>
            </w:r>
            <w:r>
              <w:rPr>
                <w:rFonts w:hint="eastAsia" w:ascii="宋体" w:hAnsi="宋体" w:cs="宋体"/>
                <w:color w:val="auto"/>
                <w:kern w:val="0"/>
                <w:szCs w:val="21"/>
              </w:rPr>
              <w:t>划</w:t>
            </w:r>
            <w:r>
              <w:rPr>
                <w:rFonts w:hint="eastAsia" w:ascii="宋体" w:hAnsi="宋体" w:cs="宋体"/>
                <w:color w:val="auto"/>
                <w:kern w:val="0"/>
                <w:szCs w:val="21"/>
                <w:lang w:val="en-US" w:eastAsia="zh-CN"/>
              </w:rPr>
              <w:t>和在投标文件中提供</w:t>
            </w:r>
            <w:r>
              <w:rPr>
                <w:rFonts w:hint="eastAsia" w:ascii="宋体" w:hAnsi="宋体" w:cs="宋体"/>
                <w:color w:val="auto"/>
                <w:kern w:val="0"/>
                <w:szCs w:val="21"/>
              </w:rPr>
              <w:t>陪护证</w:t>
            </w:r>
            <w:r>
              <w:rPr>
                <w:rFonts w:hint="eastAsia" w:ascii="宋体" w:hAnsi="宋体" w:cs="宋体"/>
                <w:color w:val="auto"/>
                <w:kern w:val="0"/>
                <w:szCs w:val="21"/>
                <w:lang w:val="en-US" w:eastAsia="zh-CN"/>
              </w:rPr>
              <w:t>复印件</w:t>
            </w:r>
            <w:r>
              <w:rPr>
                <w:rFonts w:hint="eastAsia" w:ascii="宋体" w:hAnsi="宋体" w:cs="宋体"/>
                <w:color w:val="auto"/>
                <w:kern w:val="0"/>
                <w:szCs w:val="21"/>
              </w:rPr>
              <w:t>进行综合评比打分，</w:t>
            </w:r>
            <w:r>
              <w:rPr>
                <w:rFonts w:hint="eastAsia" w:ascii="宋体" w:hAnsi="宋体" w:cs="宋体"/>
                <w:color w:val="auto"/>
                <w:kern w:val="0"/>
                <w:szCs w:val="21"/>
                <w:lang w:val="en-US" w:eastAsia="zh-CN"/>
              </w:rPr>
              <w:t>培训计划</w:t>
            </w:r>
            <w:r>
              <w:rPr>
                <w:rFonts w:hint="eastAsia" w:ascii="宋体" w:hAnsi="宋体" w:cs="宋体"/>
                <w:color w:val="auto"/>
                <w:kern w:val="0"/>
                <w:szCs w:val="21"/>
              </w:rPr>
              <w:t>科学合理</w:t>
            </w:r>
            <w:r>
              <w:rPr>
                <w:rFonts w:hint="eastAsia" w:ascii="宋体" w:hAnsi="宋体" w:cs="宋体"/>
                <w:color w:val="auto"/>
                <w:kern w:val="0"/>
                <w:szCs w:val="21"/>
                <w:lang w:val="en-US" w:eastAsia="zh-CN"/>
              </w:rPr>
              <w:t>且提供</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15人</w:t>
            </w:r>
            <w:r>
              <w:rPr>
                <w:rFonts w:hint="eastAsia" w:ascii="宋体" w:hAnsi="宋体" w:cs="宋体"/>
                <w:color w:val="auto"/>
                <w:kern w:val="0"/>
                <w:szCs w:val="21"/>
              </w:rPr>
              <w:t>陪护证得</w:t>
            </w:r>
            <w:r>
              <w:rPr>
                <w:rFonts w:ascii="宋体" w:hAnsi="宋体" w:cs="宋体"/>
                <w:color w:val="auto"/>
                <w:kern w:val="0"/>
                <w:szCs w:val="21"/>
              </w:rPr>
              <w:t>1</w:t>
            </w:r>
            <w:r>
              <w:rPr>
                <w:rFonts w:hint="eastAsia" w:ascii="宋体" w:hAnsi="宋体" w:cs="宋体"/>
                <w:color w:val="auto"/>
                <w:kern w:val="0"/>
                <w:szCs w:val="21"/>
              </w:rPr>
              <w:t>5分，</w:t>
            </w:r>
            <w:r>
              <w:rPr>
                <w:rFonts w:hint="eastAsia" w:ascii="宋体" w:hAnsi="宋体" w:cs="宋体"/>
                <w:color w:val="auto"/>
                <w:kern w:val="0"/>
                <w:szCs w:val="21"/>
                <w:lang w:val="en-US" w:eastAsia="zh-CN"/>
              </w:rPr>
              <w:t>培训计划</w:t>
            </w:r>
            <w:r>
              <w:rPr>
                <w:rFonts w:hint="eastAsia" w:ascii="宋体" w:hAnsi="宋体" w:cs="宋体"/>
                <w:color w:val="auto"/>
                <w:kern w:val="0"/>
                <w:szCs w:val="21"/>
              </w:rPr>
              <w:t>基本合理</w:t>
            </w:r>
            <w:r>
              <w:rPr>
                <w:rFonts w:hint="eastAsia" w:ascii="宋体" w:hAnsi="宋体" w:cs="宋体"/>
                <w:color w:val="auto"/>
                <w:kern w:val="0"/>
                <w:szCs w:val="21"/>
                <w:lang w:val="en-US" w:eastAsia="zh-CN"/>
              </w:rPr>
              <w:t>且提供</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10人</w:t>
            </w:r>
            <w:r>
              <w:rPr>
                <w:rFonts w:hint="eastAsia" w:ascii="宋体" w:hAnsi="宋体" w:cs="宋体"/>
                <w:color w:val="auto"/>
                <w:kern w:val="0"/>
                <w:szCs w:val="21"/>
              </w:rPr>
              <w:t>陪护证得10分，</w:t>
            </w:r>
            <w:r>
              <w:rPr>
                <w:rFonts w:hint="eastAsia" w:ascii="宋体" w:hAnsi="宋体" w:cs="宋体"/>
                <w:color w:val="auto"/>
                <w:kern w:val="0"/>
                <w:szCs w:val="21"/>
                <w:lang w:val="en-US" w:eastAsia="zh-CN"/>
              </w:rPr>
              <w:t>培训计划</w:t>
            </w:r>
            <w:r>
              <w:rPr>
                <w:rFonts w:hint="eastAsia" w:ascii="宋体" w:hAnsi="宋体" w:cs="宋体"/>
                <w:color w:val="auto"/>
                <w:kern w:val="0"/>
                <w:szCs w:val="21"/>
              </w:rPr>
              <w:t>较合理</w:t>
            </w:r>
            <w:r>
              <w:rPr>
                <w:rFonts w:hint="eastAsia" w:ascii="宋体" w:hAnsi="宋体" w:cs="宋体"/>
                <w:color w:val="auto"/>
                <w:kern w:val="0"/>
                <w:szCs w:val="21"/>
                <w:lang w:val="en-US" w:eastAsia="zh-CN"/>
              </w:rPr>
              <w:t>且提供</w:t>
            </w:r>
            <w:r>
              <w:rPr>
                <w:rFonts w:hint="eastAsia" w:ascii="宋体" w:hAnsi="宋体" w:eastAsia="宋体" w:cs="宋体"/>
                <w:color w:val="auto"/>
                <w:kern w:val="0"/>
                <w:szCs w:val="21"/>
                <w:lang w:val="en-US" w:eastAsia="zh-CN"/>
              </w:rPr>
              <w:t>≧</w:t>
            </w:r>
            <w:r>
              <w:rPr>
                <w:rFonts w:hint="eastAsia" w:ascii="宋体" w:hAnsi="宋体" w:cs="宋体"/>
                <w:color w:val="auto"/>
                <w:kern w:val="0"/>
                <w:szCs w:val="21"/>
                <w:lang w:val="en-US" w:eastAsia="zh-CN"/>
              </w:rPr>
              <w:t>5人</w:t>
            </w:r>
            <w:r>
              <w:rPr>
                <w:rFonts w:hint="eastAsia" w:ascii="宋体" w:hAnsi="宋体" w:cs="宋体"/>
                <w:color w:val="auto"/>
                <w:kern w:val="0"/>
                <w:szCs w:val="21"/>
              </w:rPr>
              <w:t>陪护证得7分，其他的得5分</w:t>
            </w:r>
            <w:r>
              <w:rPr>
                <w:rFonts w:hint="eastAsia" w:ascii="宋体" w:hAnsi="宋体" w:cs="宋体"/>
                <w:color w:val="auto"/>
                <w:kern w:val="0"/>
                <w:szCs w:val="21"/>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9" w:hRule="exac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服务计划</w:t>
            </w: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5</w:t>
            </w:r>
          </w:p>
        </w:tc>
        <w:tc>
          <w:tcPr>
            <w:tcW w:w="6945" w:type="dxa"/>
            <w:tcBorders>
              <w:bottom w:val="single" w:color="auto" w:sz="4" w:space="0"/>
            </w:tcBorders>
            <w:noWrap/>
            <w:vAlign w:val="center"/>
          </w:tcPr>
          <w:p>
            <w:pPr>
              <w:snapToGrid w:val="0"/>
              <w:spacing w:line="360" w:lineRule="auto"/>
              <w:ind w:left="-4" w:leftChars="-2" w:firstLine="2" w:firstLineChars="1"/>
              <w:rPr>
                <w:rFonts w:ascii="宋体" w:cs="宋体"/>
                <w:kern w:val="0"/>
                <w:szCs w:val="21"/>
              </w:rPr>
            </w:pPr>
            <w:r>
              <w:rPr>
                <w:rFonts w:hint="eastAsia" w:ascii="宋体" w:hAnsi="宋体" w:cs="宋体"/>
                <w:kern w:val="0"/>
                <w:szCs w:val="21"/>
              </w:rPr>
              <w:t>结合医院实际，根据制定陪护服务计划进行综合评比打分，实施方案科学、合理得</w:t>
            </w:r>
            <w:r>
              <w:rPr>
                <w:rFonts w:ascii="宋体" w:hAnsi="宋体" w:cs="宋体"/>
                <w:kern w:val="0"/>
                <w:szCs w:val="21"/>
              </w:rPr>
              <w:t>1</w:t>
            </w:r>
            <w:r>
              <w:rPr>
                <w:rFonts w:hint="eastAsia" w:ascii="宋体" w:hAnsi="宋体" w:cs="宋体"/>
                <w:kern w:val="0"/>
                <w:szCs w:val="21"/>
              </w:rPr>
              <w:t>5分，实施方案基本合理的10分，实施方案较合理的得7分，其他的得5分。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40" w:hRule="exac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日常</w:t>
            </w:r>
            <w:r>
              <w:rPr>
                <w:rFonts w:ascii="宋体" w:hAnsi="宋体" w:cs="宋体"/>
                <w:kern w:val="0"/>
                <w:szCs w:val="21"/>
              </w:rPr>
              <w:t xml:space="preserve">  </w:t>
            </w:r>
            <w:r>
              <w:rPr>
                <w:rFonts w:hint="eastAsia" w:ascii="宋体" w:hAnsi="宋体" w:cs="宋体"/>
                <w:kern w:val="0"/>
                <w:szCs w:val="21"/>
              </w:rPr>
              <w:t>管理</w:t>
            </w: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10</w:t>
            </w:r>
          </w:p>
        </w:tc>
        <w:tc>
          <w:tcPr>
            <w:tcW w:w="6945" w:type="dxa"/>
            <w:tcBorders>
              <w:bottom w:val="single" w:color="auto" w:sz="4" w:space="0"/>
            </w:tcBorders>
            <w:noWrap/>
            <w:vAlign w:val="center"/>
          </w:tcPr>
          <w:p>
            <w:pPr>
              <w:snapToGrid w:val="0"/>
              <w:spacing w:line="360" w:lineRule="auto"/>
              <w:ind w:left="-4" w:leftChars="-2" w:firstLine="2" w:firstLineChars="1"/>
              <w:rPr>
                <w:rFonts w:ascii="宋体" w:cs="宋体"/>
                <w:kern w:val="0"/>
                <w:szCs w:val="21"/>
              </w:rPr>
            </w:pPr>
            <w:r>
              <w:rPr>
                <w:rFonts w:hint="eastAsia" w:ascii="宋体" w:hAnsi="宋体" w:cs="宋体"/>
                <w:kern w:val="0"/>
                <w:szCs w:val="21"/>
              </w:rPr>
              <w:t>根据投标人针对采购人的项目需求制定合理的日常管理方案，实施方案科学、合理得</w:t>
            </w:r>
            <w:r>
              <w:rPr>
                <w:rFonts w:ascii="宋体" w:hAnsi="宋体" w:cs="宋体"/>
                <w:kern w:val="0"/>
                <w:szCs w:val="21"/>
              </w:rPr>
              <w:t>10</w:t>
            </w:r>
            <w:r>
              <w:rPr>
                <w:rFonts w:hint="eastAsia" w:ascii="宋体" w:hAnsi="宋体" w:cs="宋体"/>
                <w:kern w:val="0"/>
                <w:szCs w:val="21"/>
              </w:rPr>
              <w:t>分，实施方案基本合理的</w:t>
            </w:r>
            <w:r>
              <w:rPr>
                <w:rFonts w:ascii="宋体" w:hAnsi="宋体" w:cs="宋体"/>
                <w:kern w:val="0"/>
                <w:szCs w:val="21"/>
              </w:rPr>
              <w:t>7</w:t>
            </w:r>
            <w:r>
              <w:rPr>
                <w:rFonts w:hint="eastAsia" w:ascii="宋体" w:hAnsi="宋体" w:cs="宋体"/>
                <w:kern w:val="0"/>
                <w:szCs w:val="21"/>
              </w:rPr>
              <w:t>分，实施方案较合理的得</w:t>
            </w:r>
            <w:r>
              <w:rPr>
                <w:rFonts w:ascii="宋体" w:hAnsi="宋体" w:cs="宋体"/>
                <w:kern w:val="0"/>
                <w:szCs w:val="21"/>
              </w:rPr>
              <w:t>5</w:t>
            </w:r>
            <w:r>
              <w:rPr>
                <w:rFonts w:hint="eastAsia" w:ascii="宋体" w:hAnsi="宋体" w:cs="宋体"/>
                <w:kern w:val="0"/>
                <w:szCs w:val="21"/>
              </w:rPr>
              <w:t>分，其他的得</w:t>
            </w:r>
            <w:r>
              <w:rPr>
                <w:rFonts w:ascii="宋体" w:hAnsi="宋体" w:cs="宋体"/>
                <w:kern w:val="0"/>
                <w:szCs w:val="21"/>
              </w:rPr>
              <w:t>3</w:t>
            </w:r>
            <w:r>
              <w:rPr>
                <w:rFonts w:hint="eastAsia" w:ascii="宋体" w:hAnsi="宋体" w:cs="宋体"/>
                <w:kern w:val="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32" w:hRule="exac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应急处理措施</w:t>
            </w:r>
          </w:p>
        </w:tc>
        <w:tc>
          <w:tcPr>
            <w:tcW w:w="901" w:type="dxa"/>
            <w:noWrap/>
            <w:vAlign w:val="center"/>
          </w:tcPr>
          <w:p>
            <w:pPr>
              <w:snapToGrid w:val="0"/>
              <w:spacing w:line="360" w:lineRule="auto"/>
              <w:jc w:val="center"/>
              <w:rPr>
                <w:rFonts w:ascii="宋体" w:cs="宋体"/>
                <w:kern w:val="0"/>
                <w:szCs w:val="21"/>
              </w:rPr>
            </w:pPr>
            <w:r>
              <w:rPr>
                <w:rFonts w:ascii="宋体" w:hAnsi="宋体" w:cs="宋体"/>
                <w:kern w:val="0"/>
                <w:szCs w:val="21"/>
              </w:rPr>
              <w:t>5</w:t>
            </w:r>
          </w:p>
        </w:tc>
        <w:tc>
          <w:tcPr>
            <w:tcW w:w="6945" w:type="dxa"/>
            <w:tcBorders>
              <w:bottom w:val="single" w:color="auto" w:sz="4" w:space="0"/>
            </w:tcBorders>
            <w:noWrap/>
            <w:vAlign w:val="center"/>
          </w:tcPr>
          <w:p>
            <w:pPr>
              <w:snapToGrid w:val="0"/>
              <w:spacing w:line="360" w:lineRule="auto"/>
              <w:ind w:left="-4" w:leftChars="-2" w:firstLine="2" w:firstLineChars="1"/>
              <w:rPr>
                <w:rFonts w:ascii="宋体" w:cs="宋体"/>
                <w:kern w:val="0"/>
                <w:szCs w:val="21"/>
              </w:rPr>
            </w:pPr>
            <w:r>
              <w:rPr>
                <w:rFonts w:hint="eastAsia" w:ascii="宋体" w:hAnsi="宋体"/>
                <w:szCs w:val="21"/>
                <w:lang w:val="ru-RU"/>
              </w:rPr>
              <w:t>根据供应商提供的针对本项目各环节的突发情况处理预案进行综合评价。方案完整，可行性强和保障性强的得</w:t>
            </w:r>
            <w:r>
              <w:rPr>
                <w:rFonts w:ascii="宋体" w:hAnsi="宋体"/>
                <w:szCs w:val="21"/>
              </w:rPr>
              <w:t>5</w:t>
            </w:r>
            <w:r>
              <w:rPr>
                <w:rFonts w:hint="eastAsia" w:ascii="宋体" w:hAnsi="宋体"/>
                <w:szCs w:val="21"/>
                <w:lang w:val="ru-RU"/>
              </w:rPr>
              <w:t>分；方案较完整，可行性和保障性一般的</w:t>
            </w:r>
            <w:r>
              <w:rPr>
                <w:rFonts w:ascii="宋体" w:hAnsi="宋体"/>
                <w:szCs w:val="21"/>
              </w:rPr>
              <w:t>3</w:t>
            </w:r>
            <w:r>
              <w:rPr>
                <w:rFonts w:hint="eastAsia" w:ascii="宋体" w:hAnsi="宋体"/>
                <w:szCs w:val="21"/>
                <w:lang w:val="ru-RU"/>
              </w:rPr>
              <w:t>分；方案基本完整，可行性和保障性不强的得</w:t>
            </w:r>
            <w:r>
              <w:rPr>
                <w:rFonts w:ascii="宋体" w:hAnsi="宋体"/>
                <w:szCs w:val="21"/>
              </w:rPr>
              <w:t>2</w:t>
            </w:r>
            <w:r>
              <w:rPr>
                <w:rFonts w:hint="eastAsia" w:ascii="宋体" w:hAnsi="宋体"/>
                <w:szCs w:val="21"/>
                <w:lang w:val="ru-RU"/>
              </w:rPr>
              <w:t>分，方案</w:t>
            </w:r>
            <w:r>
              <w:rPr>
                <w:rFonts w:hint="eastAsia" w:ascii="宋体" w:hAnsi="宋体"/>
                <w:szCs w:val="21"/>
              </w:rPr>
              <w:t>不</w:t>
            </w:r>
            <w:r>
              <w:rPr>
                <w:rFonts w:hint="eastAsia" w:ascii="宋体" w:hAnsi="宋体"/>
                <w:szCs w:val="21"/>
                <w:lang w:val="ru-RU"/>
              </w:rPr>
              <w:t>完整</w:t>
            </w:r>
            <w:r>
              <w:rPr>
                <w:rFonts w:hint="eastAsia" w:ascii="宋体" w:hAnsi="宋体"/>
                <w:szCs w:val="21"/>
              </w:rPr>
              <w:t>的得</w:t>
            </w:r>
            <w:r>
              <w:rPr>
                <w:rFonts w:ascii="宋体" w:hAnsi="宋体"/>
                <w:szCs w:val="21"/>
              </w:rPr>
              <w:t>3</w:t>
            </w:r>
            <w:r>
              <w:rPr>
                <w:rFonts w:hint="eastAsia" w:ascii="宋体" w:hAnsi="宋体"/>
                <w:szCs w:val="21"/>
              </w:rPr>
              <w:t>分</w:t>
            </w:r>
            <w:r>
              <w:rPr>
                <w:rFonts w:hint="eastAsia" w:ascii="宋体" w:hAnsi="宋体"/>
                <w:szCs w:val="21"/>
                <w:lang w:val="ru-RU"/>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02" w:type="dxa"/>
            <w:vMerge w:val="restart"/>
            <w:noWrap/>
            <w:vAlign w:val="center"/>
          </w:tcPr>
          <w:p>
            <w:pPr>
              <w:spacing w:line="340" w:lineRule="exact"/>
              <w:jc w:val="center"/>
              <w:rPr>
                <w:rFonts w:ascii="宋体"/>
                <w:szCs w:val="21"/>
              </w:rPr>
            </w:pPr>
            <w:r>
              <w:rPr>
                <w:rFonts w:hint="eastAsia" w:ascii="宋体" w:hAnsi="宋体"/>
                <w:szCs w:val="21"/>
              </w:rPr>
              <w:t>商务部分（</w:t>
            </w:r>
            <w:r>
              <w:rPr>
                <w:rFonts w:ascii="宋体" w:hAnsi="宋体"/>
                <w:szCs w:val="21"/>
              </w:rPr>
              <w:t>30</w:t>
            </w:r>
            <w:r>
              <w:rPr>
                <w:rFonts w:hint="eastAsia" w:ascii="宋体" w:hAnsi="宋体"/>
                <w:szCs w:val="21"/>
              </w:rPr>
              <w:t>分）</w:t>
            </w:r>
          </w:p>
        </w:tc>
        <w:tc>
          <w:tcPr>
            <w:tcW w:w="993" w:type="dxa"/>
            <w:noWrap/>
            <w:vAlign w:val="center"/>
          </w:tcPr>
          <w:p>
            <w:pPr>
              <w:snapToGrid w:val="0"/>
              <w:spacing w:line="360" w:lineRule="auto"/>
              <w:jc w:val="center"/>
              <w:rPr>
                <w:rFonts w:ascii="宋体" w:cs="宋体"/>
                <w:kern w:val="0"/>
                <w:szCs w:val="21"/>
              </w:rPr>
            </w:pPr>
            <w:r>
              <w:rPr>
                <w:rFonts w:hint="eastAsia" w:ascii="宋体" w:hAnsi="宋体" w:cs="宋体"/>
                <w:kern w:val="0"/>
                <w:szCs w:val="21"/>
              </w:rPr>
              <w:t>类似业绩</w:t>
            </w: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15</w:t>
            </w:r>
          </w:p>
        </w:tc>
        <w:tc>
          <w:tcPr>
            <w:tcW w:w="6945" w:type="dxa"/>
            <w:noWrap/>
            <w:vAlign w:val="center"/>
          </w:tcPr>
          <w:p>
            <w:pPr>
              <w:snapToGrid w:val="0"/>
              <w:spacing w:line="360" w:lineRule="auto"/>
              <w:ind w:left="-4" w:leftChars="-2" w:firstLine="2" w:firstLineChars="1"/>
              <w:rPr>
                <w:rFonts w:ascii="宋体" w:cs="宋体"/>
                <w:kern w:val="0"/>
                <w:szCs w:val="21"/>
              </w:rPr>
            </w:pPr>
            <w:r>
              <w:rPr>
                <w:rFonts w:hint="eastAsia" w:ascii="宋体" w:hAnsi="宋体" w:cs="宋体"/>
                <w:kern w:val="0"/>
                <w:szCs w:val="21"/>
              </w:rPr>
              <w:t>供应商提供大型综合性医院陪护管理成功案例，其中至少一例为三级甲等医院，一个得</w:t>
            </w:r>
            <w:r>
              <w:rPr>
                <w:rFonts w:ascii="宋体" w:hAnsi="宋体" w:cs="宋体"/>
                <w:kern w:val="0"/>
                <w:szCs w:val="21"/>
              </w:rPr>
              <w:t>3</w:t>
            </w:r>
            <w:r>
              <w:rPr>
                <w:rFonts w:hint="eastAsia" w:ascii="宋体" w:hAnsi="宋体" w:cs="宋体"/>
                <w:kern w:val="0"/>
                <w:szCs w:val="21"/>
              </w:rPr>
              <w:t>分，最高得</w:t>
            </w:r>
            <w:r>
              <w:rPr>
                <w:rFonts w:ascii="宋体" w:hAnsi="宋体" w:cs="宋体"/>
                <w:kern w:val="0"/>
                <w:szCs w:val="21"/>
              </w:rPr>
              <w:t>15</w:t>
            </w:r>
            <w:r>
              <w:rPr>
                <w:rFonts w:hint="eastAsia" w:ascii="宋体" w:hAnsi="宋体" w:cs="宋体"/>
                <w:kern w:val="0"/>
                <w:szCs w:val="21"/>
              </w:rPr>
              <w:t>分。（提供合同复印件加盖单位公章，如不能完全反映上述考核内容，可提供其他证明资料复印件加盖单位公章。）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902" w:type="dxa"/>
            <w:vMerge w:val="continue"/>
            <w:noWrap/>
            <w:vAlign w:val="center"/>
          </w:tcPr>
          <w:p>
            <w:pPr>
              <w:spacing w:line="340" w:lineRule="exact"/>
              <w:jc w:val="center"/>
              <w:rPr>
                <w:rFonts w:ascii="宋体"/>
                <w:szCs w:val="21"/>
              </w:rPr>
            </w:pPr>
          </w:p>
        </w:tc>
        <w:tc>
          <w:tcPr>
            <w:tcW w:w="993" w:type="dxa"/>
            <w:noWrap/>
            <w:vAlign w:val="center"/>
          </w:tcPr>
          <w:p>
            <w:pPr>
              <w:shd w:val="clear" w:color="auto" w:fill="FFFFFF"/>
              <w:spacing w:line="360" w:lineRule="exact"/>
              <w:jc w:val="center"/>
              <w:rPr>
                <w:rFonts w:ascii="宋体" w:cs="宋体"/>
                <w:kern w:val="0"/>
                <w:szCs w:val="21"/>
              </w:rPr>
            </w:pPr>
            <w:r>
              <w:rPr>
                <w:rFonts w:hint="eastAsia" w:ascii="宋体" w:hAnsi="宋体" w:cs="宋体"/>
                <w:kern w:val="0"/>
                <w:szCs w:val="21"/>
              </w:rPr>
              <w:t>项目团队</w:t>
            </w: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4</w:t>
            </w:r>
          </w:p>
        </w:tc>
        <w:tc>
          <w:tcPr>
            <w:tcW w:w="6945" w:type="dxa"/>
            <w:noWrap/>
            <w:vAlign w:val="center"/>
          </w:tcPr>
          <w:p>
            <w:pPr>
              <w:pStyle w:val="4"/>
              <w:rPr>
                <w:rFonts w:ascii="宋体" w:cs="宋体"/>
                <w:kern w:val="0"/>
                <w:szCs w:val="21"/>
              </w:rPr>
            </w:pPr>
            <w:r>
              <w:rPr>
                <w:rFonts w:hint="eastAsia" w:ascii="宋体" w:hAnsi="宋体" w:cs="宋体"/>
                <w:kern w:val="0"/>
                <w:szCs w:val="21"/>
              </w:rPr>
              <w:t>项目团队配置：根据项目团队业绩经验、成员从业年限、经验等综合评比，科学合理得</w:t>
            </w:r>
            <w:r>
              <w:rPr>
                <w:rFonts w:ascii="宋体" w:hAnsi="宋体" w:cs="宋体"/>
                <w:kern w:val="0"/>
                <w:szCs w:val="21"/>
              </w:rPr>
              <w:t>4</w:t>
            </w:r>
            <w:r>
              <w:rPr>
                <w:rFonts w:hint="eastAsia" w:ascii="宋体" w:hAnsi="宋体" w:cs="宋体"/>
                <w:kern w:val="0"/>
                <w:szCs w:val="21"/>
              </w:rPr>
              <w:t>分，基本合理</w:t>
            </w:r>
            <w:r>
              <w:rPr>
                <w:rFonts w:ascii="宋体" w:hAnsi="宋体" w:cs="宋体"/>
                <w:kern w:val="0"/>
                <w:szCs w:val="21"/>
              </w:rPr>
              <w:t>2</w:t>
            </w:r>
            <w:r>
              <w:rPr>
                <w:rFonts w:hint="eastAsia" w:ascii="宋体" w:hAnsi="宋体" w:cs="宋体"/>
                <w:kern w:val="0"/>
                <w:szCs w:val="21"/>
              </w:rPr>
              <w:t>分，其他的得</w:t>
            </w:r>
            <w:r>
              <w:rPr>
                <w:rFonts w:ascii="宋体" w:hAnsi="宋体" w:cs="宋体"/>
                <w:kern w:val="0"/>
                <w:szCs w:val="21"/>
              </w:rPr>
              <w:t>1</w:t>
            </w:r>
            <w:r>
              <w:rPr>
                <w:rFonts w:hint="eastAsia" w:ascii="宋体" w:hAnsi="宋体" w:cs="宋体"/>
                <w:kern w:val="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902" w:type="dxa"/>
            <w:vMerge w:val="continue"/>
            <w:noWrap/>
            <w:vAlign w:val="center"/>
          </w:tcPr>
          <w:p>
            <w:pPr>
              <w:spacing w:line="340" w:lineRule="exact"/>
              <w:jc w:val="center"/>
              <w:rPr>
                <w:rFonts w:ascii="宋体"/>
                <w:szCs w:val="21"/>
              </w:rPr>
            </w:pPr>
          </w:p>
        </w:tc>
        <w:tc>
          <w:tcPr>
            <w:tcW w:w="993" w:type="dxa"/>
            <w:vMerge w:val="restart"/>
            <w:noWrap/>
            <w:vAlign w:val="center"/>
          </w:tcPr>
          <w:p>
            <w:pPr>
              <w:shd w:val="clear" w:color="auto" w:fill="FFFFFF"/>
              <w:spacing w:line="360" w:lineRule="exact"/>
              <w:jc w:val="center"/>
              <w:rPr>
                <w:rFonts w:ascii="宋体"/>
                <w:szCs w:val="21"/>
              </w:rPr>
            </w:pPr>
            <w:r>
              <w:rPr>
                <w:rFonts w:hint="eastAsia" w:ascii="宋体" w:hAnsi="宋体"/>
                <w:szCs w:val="21"/>
              </w:rPr>
              <w:t>服务承诺</w:t>
            </w:r>
          </w:p>
        </w:tc>
        <w:tc>
          <w:tcPr>
            <w:tcW w:w="901" w:type="dxa"/>
            <w:noWrap/>
            <w:vAlign w:val="center"/>
          </w:tcPr>
          <w:p>
            <w:pPr>
              <w:jc w:val="center"/>
              <w:rPr>
                <w:rFonts w:ascii="宋体"/>
                <w:szCs w:val="21"/>
              </w:rPr>
            </w:pPr>
            <w:r>
              <w:rPr>
                <w:rFonts w:ascii="宋体" w:hAnsi="宋体"/>
                <w:szCs w:val="21"/>
              </w:rPr>
              <w:t>6</w:t>
            </w:r>
          </w:p>
        </w:tc>
        <w:tc>
          <w:tcPr>
            <w:tcW w:w="6945" w:type="dxa"/>
            <w:noWrap/>
            <w:vAlign w:val="center"/>
          </w:tcPr>
          <w:p>
            <w:pPr>
              <w:tabs>
                <w:tab w:val="left" w:pos="1915"/>
              </w:tabs>
              <w:jc w:val="left"/>
              <w:rPr>
                <w:rFonts w:ascii="宋体"/>
                <w:szCs w:val="21"/>
              </w:rPr>
            </w:pPr>
            <w:r>
              <w:rPr>
                <w:rFonts w:hint="eastAsia" w:ascii="宋体" w:hAnsi="宋体"/>
                <w:szCs w:val="21"/>
              </w:rPr>
              <w:t>对服务承诺的罚则，科学合理</w:t>
            </w:r>
            <w:r>
              <w:rPr>
                <w:rFonts w:ascii="宋体" w:hAnsi="宋体"/>
                <w:szCs w:val="21"/>
              </w:rPr>
              <w:t>6</w:t>
            </w:r>
            <w:r>
              <w:rPr>
                <w:rFonts w:hint="eastAsia" w:ascii="宋体" w:hAnsi="宋体"/>
                <w:szCs w:val="21"/>
              </w:rPr>
              <w:t>分，基本合理</w:t>
            </w:r>
            <w:r>
              <w:rPr>
                <w:rFonts w:ascii="宋体" w:hAnsi="宋体"/>
                <w:szCs w:val="21"/>
              </w:rPr>
              <w:t>3</w:t>
            </w:r>
            <w:r>
              <w:rPr>
                <w:rFonts w:hint="eastAsia" w:ascii="宋体" w:hAnsi="宋体"/>
                <w:szCs w:val="21"/>
              </w:rPr>
              <w:t>分，没有不得分。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5" w:hRule="atLeast"/>
          <w:jc w:val="center"/>
        </w:trPr>
        <w:tc>
          <w:tcPr>
            <w:tcW w:w="902" w:type="dxa"/>
            <w:vMerge w:val="continue"/>
            <w:noWrap/>
            <w:vAlign w:val="center"/>
          </w:tcPr>
          <w:p>
            <w:pPr>
              <w:spacing w:line="340" w:lineRule="exact"/>
              <w:jc w:val="center"/>
              <w:rPr>
                <w:rFonts w:ascii="宋体"/>
                <w:szCs w:val="21"/>
              </w:rPr>
            </w:pPr>
          </w:p>
        </w:tc>
        <w:tc>
          <w:tcPr>
            <w:tcW w:w="993" w:type="dxa"/>
            <w:vMerge w:val="continue"/>
            <w:noWrap/>
            <w:vAlign w:val="center"/>
          </w:tcPr>
          <w:p>
            <w:pPr>
              <w:shd w:val="clear" w:color="auto" w:fill="FFFFFF"/>
              <w:spacing w:line="360" w:lineRule="exact"/>
              <w:jc w:val="center"/>
              <w:rPr>
                <w:rFonts w:ascii="宋体"/>
                <w:szCs w:val="21"/>
              </w:rPr>
            </w:pPr>
          </w:p>
        </w:tc>
        <w:tc>
          <w:tcPr>
            <w:tcW w:w="901" w:type="dxa"/>
            <w:noWrap/>
            <w:vAlign w:val="center"/>
          </w:tcPr>
          <w:p>
            <w:pPr>
              <w:snapToGrid w:val="0"/>
              <w:spacing w:line="360" w:lineRule="auto"/>
              <w:jc w:val="center"/>
              <w:rPr>
                <w:rFonts w:ascii="宋体" w:hAnsi="宋体" w:cs="宋体"/>
                <w:kern w:val="0"/>
                <w:szCs w:val="21"/>
              </w:rPr>
            </w:pPr>
            <w:r>
              <w:rPr>
                <w:rFonts w:ascii="宋体" w:hAnsi="宋体" w:cs="宋体"/>
                <w:kern w:val="0"/>
                <w:szCs w:val="21"/>
              </w:rPr>
              <w:t>5</w:t>
            </w:r>
          </w:p>
        </w:tc>
        <w:tc>
          <w:tcPr>
            <w:tcW w:w="6945" w:type="dxa"/>
            <w:noWrap/>
            <w:vAlign w:val="center"/>
          </w:tcPr>
          <w:p>
            <w:pPr>
              <w:jc w:val="left"/>
              <w:rPr>
                <w:rFonts w:ascii="宋体" w:cs="宋体"/>
                <w:kern w:val="0"/>
                <w:szCs w:val="21"/>
              </w:rPr>
            </w:pPr>
            <w:r>
              <w:rPr>
                <w:rFonts w:hint="eastAsia" w:ascii="宋体" w:hAnsi="宋体" w:cs="宋体"/>
                <w:kern w:val="0"/>
                <w:szCs w:val="21"/>
              </w:rPr>
              <w:t>对服务响应时间的承诺，≦</w:t>
            </w:r>
            <w:r>
              <w:rPr>
                <w:rFonts w:ascii="宋体" w:hAnsi="宋体" w:cs="宋体"/>
                <w:kern w:val="0"/>
                <w:szCs w:val="21"/>
              </w:rPr>
              <w:t>1</w:t>
            </w:r>
            <w:r>
              <w:rPr>
                <w:rFonts w:hint="eastAsia" w:ascii="宋体" w:hAnsi="宋体" w:cs="宋体"/>
                <w:kern w:val="0"/>
                <w:szCs w:val="21"/>
              </w:rPr>
              <w:t>小时相应得</w:t>
            </w:r>
            <w:r>
              <w:rPr>
                <w:rFonts w:ascii="宋体" w:hAnsi="宋体" w:cs="宋体"/>
                <w:kern w:val="0"/>
                <w:szCs w:val="21"/>
              </w:rPr>
              <w:t>5</w:t>
            </w:r>
            <w:r>
              <w:rPr>
                <w:rFonts w:hint="eastAsia" w:ascii="宋体" w:hAnsi="宋体" w:cs="宋体"/>
                <w:kern w:val="0"/>
                <w:szCs w:val="21"/>
              </w:rPr>
              <w:t>分，≦</w:t>
            </w:r>
            <w:r>
              <w:rPr>
                <w:rFonts w:ascii="宋体" w:hAnsi="宋体" w:cs="宋体"/>
                <w:kern w:val="0"/>
                <w:szCs w:val="21"/>
              </w:rPr>
              <w:t>2</w:t>
            </w:r>
            <w:r>
              <w:rPr>
                <w:rFonts w:hint="eastAsia" w:ascii="宋体" w:hAnsi="宋体" w:cs="宋体"/>
                <w:kern w:val="0"/>
                <w:szCs w:val="21"/>
              </w:rPr>
              <w:t>小时相应得</w:t>
            </w:r>
            <w:r>
              <w:rPr>
                <w:rFonts w:ascii="宋体" w:hAnsi="宋体" w:cs="宋体"/>
                <w:kern w:val="0"/>
                <w:szCs w:val="21"/>
              </w:rPr>
              <w:t>3</w:t>
            </w:r>
            <w:r>
              <w:rPr>
                <w:rFonts w:hint="eastAsia" w:ascii="宋体" w:hAnsi="宋体" w:cs="宋体"/>
                <w:kern w:val="0"/>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9" w:hRule="exact"/>
          <w:jc w:val="center"/>
        </w:trPr>
        <w:tc>
          <w:tcPr>
            <w:tcW w:w="9741" w:type="dxa"/>
            <w:gridSpan w:val="4"/>
            <w:noWrap/>
            <w:vAlign w:val="center"/>
          </w:tcPr>
          <w:p>
            <w:pPr>
              <w:spacing w:line="340" w:lineRule="exact"/>
              <w:jc w:val="center"/>
              <w:rPr>
                <w:rFonts w:ascii="宋体"/>
                <w:szCs w:val="21"/>
              </w:rPr>
            </w:pPr>
            <w:r>
              <w:rPr>
                <w:rFonts w:hint="eastAsia" w:ascii="宋体" w:hAnsi="宋体"/>
                <w:szCs w:val="21"/>
              </w:rPr>
              <w:t>总分</w:t>
            </w:r>
            <w:r>
              <w:rPr>
                <w:rFonts w:ascii="宋体" w:hAnsi="宋体"/>
                <w:szCs w:val="21"/>
              </w:rPr>
              <w:t>100</w:t>
            </w:r>
            <w:r>
              <w:rPr>
                <w:rFonts w:hint="eastAsia" w:ascii="宋体" w:hAnsi="宋体"/>
                <w:szCs w:val="21"/>
              </w:rPr>
              <w:t>分</w:t>
            </w:r>
          </w:p>
        </w:tc>
      </w:tr>
      <w:bookmarkEnd w:id="0"/>
    </w:tbl>
    <w:p>
      <w:pPr>
        <w:rPr>
          <w:rFonts w:ascii="宋体"/>
          <w:b/>
          <w:sz w:val="32"/>
          <w:szCs w:val="32"/>
        </w:rPr>
      </w:pPr>
      <w:r>
        <w:rPr>
          <w:rFonts w:hint="eastAsia"/>
          <w:sz w:val="32"/>
          <w:szCs w:val="32"/>
          <w:lang w:val="en-US" w:eastAsia="zh-CN"/>
        </w:rPr>
        <w:t>五</w:t>
      </w:r>
      <w:r>
        <w:rPr>
          <w:rFonts w:hint="eastAsia"/>
          <w:sz w:val="32"/>
          <w:szCs w:val="32"/>
        </w:rPr>
        <w:t>、</w:t>
      </w:r>
      <w:r>
        <w:rPr>
          <w:rFonts w:hint="eastAsia" w:ascii="宋体" w:hAnsi="宋体"/>
          <w:b/>
          <w:sz w:val="32"/>
          <w:szCs w:val="32"/>
        </w:rPr>
        <w:t>法定代表人授权书</w:t>
      </w:r>
    </w:p>
    <w:p>
      <w:pPr>
        <w:spacing w:line="480" w:lineRule="exact"/>
        <w:ind w:firstLine="240" w:firstLineChars="100"/>
        <w:rPr>
          <w:rFonts w:ascii="宋体"/>
          <w:sz w:val="24"/>
          <w:u w:val="single"/>
        </w:rPr>
      </w:pPr>
      <w:r>
        <w:rPr>
          <w:rFonts w:hint="eastAsia" w:ascii="宋体" w:hAnsi="宋体"/>
          <w:sz w:val="24"/>
          <w:u w:val="single"/>
        </w:rPr>
        <w:t xml:space="preserve">       ：</w:t>
      </w:r>
    </w:p>
    <w:p>
      <w:pPr>
        <w:spacing w:line="480" w:lineRule="exact"/>
        <w:ind w:firstLine="480" w:firstLineChars="200"/>
        <w:rPr>
          <w:rFonts w:ascii="宋体"/>
          <w:sz w:val="24"/>
        </w:rPr>
      </w:pPr>
      <w:r>
        <w:rPr>
          <w:rFonts w:hint="eastAsia" w:ascii="宋体" w:hAnsi="宋体"/>
          <w:sz w:val="24"/>
        </w:rPr>
        <w:t>兹授权同志为我公司参加贵单位组织的</w:t>
      </w:r>
      <w:r>
        <w:rPr>
          <w:rFonts w:hint="eastAsia" w:ascii="宋体" w:hAnsi="宋体"/>
          <w:sz w:val="24"/>
          <w:u w:val="single"/>
        </w:rPr>
        <w:t>（填</w:t>
      </w:r>
      <w:r>
        <w:rPr>
          <w:rFonts w:ascii="宋体" w:hAnsi="宋体"/>
          <w:sz w:val="24"/>
          <w:u w:val="single"/>
        </w:rPr>
        <w:t xml:space="preserve">    </w:t>
      </w:r>
      <w:r>
        <w:rPr>
          <w:rFonts w:hint="eastAsia" w:ascii="宋体" w:hAnsi="宋体"/>
          <w:sz w:val="24"/>
          <w:u w:val="single"/>
        </w:rPr>
        <w:t>项</w:t>
      </w:r>
      <w:r>
        <w:rPr>
          <w:rFonts w:ascii="宋体" w:hAnsi="宋体"/>
          <w:sz w:val="24"/>
          <w:u w:val="single"/>
        </w:rPr>
        <w:t xml:space="preserve">    </w:t>
      </w:r>
      <w:r>
        <w:rPr>
          <w:rFonts w:hint="eastAsia" w:ascii="宋体" w:hAnsi="宋体"/>
          <w:sz w:val="24"/>
          <w:u w:val="single"/>
        </w:rPr>
        <w:t>目</w:t>
      </w:r>
      <w:r>
        <w:rPr>
          <w:rFonts w:ascii="宋体" w:hAnsi="宋体"/>
          <w:sz w:val="24"/>
          <w:u w:val="single"/>
        </w:rPr>
        <w:t xml:space="preserve">    </w:t>
      </w:r>
      <w:r>
        <w:rPr>
          <w:rFonts w:hint="eastAsia" w:ascii="宋体" w:hAnsi="宋体"/>
          <w:sz w:val="24"/>
          <w:u w:val="single"/>
        </w:rPr>
        <w:t>名</w:t>
      </w:r>
      <w:r>
        <w:rPr>
          <w:rFonts w:ascii="宋体" w:hAnsi="宋体"/>
          <w:sz w:val="24"/>
          <w:u w:val="single"/>
        </w:rPr>
        <w:t xml:space="preserve">   </w:t>
      </w:r>
      <w:r>
        <w:rPr>
          <w:rFonts w:hint="eastAsia" w:ascii="宋体" w:hAnsi="宋体"/>
          <w:sz w:val="24"/>
          <w:u w:val="single"/>
        </w:rPr>
        <w:t>称）</w:t>
      </w:r>
      <w:r>
        <w:rPr>
          <w:rFonts w:hint="eastAsia" w:ascii="宋体" w:hAnsi="宋体"/>
          <w:sz w:val="24"/>
        </w:rPr>
        <w:t>竞争性选择采购活动的代表人，全权代表我公司处理在该项目采购活动中的一切事宜。代理期限从年月日起至年月日止。</w:t>
      </w:r>
      <w:r>
        <w:rPr>
          <w:rFonts w:ascii="宋体" w:hAnsi="宋体"/>
          <w:sz w:val="24"/>
        </w:rPr>
        <w:t xml:space="preserve"> </w:t>
      </w:r>
    </w:p>
    <w:p>
      <w:pPr>
        <w:spacing w:line="480" w:lineRule="exact"/>
        <w:rPr>
          <w:rFonts w:ascii="宋体"/>
          <w:sz w:val="24"/>
        </w:rPr>
      </w:pPr>
    </w:p>
    <w:p>
      <w:pPr>
        <w:spacing w:line="480" w:lineRule="exact"/>
        <w:ind w:right="26"/>
        <w:rPr>
          <w:rFonts w:ascii="宋体"/>
          <w:sz w:val="24"/>
        </w:rPr>
      </w:pPr>
      <w:r>
        <w:rPr>
          <w:rFonts w:hint="eastAsia" w:ascii="宋体" w:hAnsi="宋体"/>
          <w:sz w:val="24"/>
        </w:rPr>
        <w:t>授权单位（盖章）：</w:t>
      </w:r>
    </w:p>
    <w:p>
      <w:pPr>
        <w:spacing w:line="480" w:lineRule="exact"/>
        <w:rPr>
          <w:rFonts w:ascii="宋体"/>
          <w:sz w:val="24"/>
          <w:u w:val="single"/>
        </w:rPr>
      </w:pPr>
      <w:r>
        <w:rPr>
          <w:rFonts w:hint="eastAsia" w:ascii="宋体" w:hAnsi="宋体"/>
          <w:sz w:val="24"/>
        </w:rPr>
        <w:t>法定代表人签字：</w:t>
      </w:r>
    </w:p>
    <w:p>
      <w:pPr>
        <w:spacing w:line="480" w:lineRule="exact"/>
        <w:rPr>
          <w:rFonts w:ascii="宋体"/>
          <w:sz w:val="24"/>
        </w:rPr>
      </w:pPr>
      <w:r>
        <w:rPr>
          <w:rFonts w:hint="eastAsia" w:ascii="宋体" w:hAnsi="宋体"/>
          <w:sz w:val="24"/>
        </w:rPr>
        <w:t>签发日期：</w:t>
      </w:r>
      <w:r>
        <w:rPr>
          <w:rFonts w:ascii="宋体" w:hAnsi="宋体"/>
          <w:sz w:val="24"/>
        </w:rPr>
        <w:t xml:space="preserve"> </w:t>
      </w:r>
      <w:r>
        <w:rPr>
          <w:rFonts w:hint="eastAsia" w:ascii="宋体" w:hAnsi="宋体"/>
          <w:sz w:val="24"/>
        </w:rPr>
        <w:t>年月日</w:t>
      </w:r>
    </w:p>
    <w:p>
      <w:pPr>
        <w:spacing w:line="480" w:lineRule="exact"/>
        <w:ind w:firstLine="2400" w:firstLineChars="1000"/>
        <w:rPr>
          <w:rFonts w:ascii="宋体"/>
          <w:sz w:val="24"/>
        </w:rPr>
      </w:pPr>
    </w:p>
    <w:p>
      <w:pPr>
        <w:spacing w:line="480" w:lineRule="exact"/>
        <w:rPr>
          <w:rFonts w:ascii="宋体"/>
          <w:sz w:val="24"/>
        </w:rPr>
      </w:pPr>
      <w:r>
        <w:rPr>
          <w:rFonts w:hint="eastAsia" w:ascii="宋体" w:hAnsi="宋体"/>
          <w:sz w:val="24"/>
        </w:rPr>
        <w:t>附：代理人（签字）：</w:t>
      </w:r>
    </w:p>
    <w:p>
      <w:pPr>
        <w:spacing w:line="480" w:lineRule="exact"/>
        <w:rPr>
          <w:rFonts w:ascii="宋体"/>
          <w:sz w:val="24"/>
        </w:rPr>
      </w:pPr>
      <w:r>
        <w:rPr>
          <w:rFonts w:hint="eastAsia" w:ascii="宋体" w:hAnsi="宋体"/>
          <w:sz w:val="24"/>
        </w:rPr>
        <w:t>职务：</w:t>
      </w:r>
      <w:r>
        <w:rPr>
          <w:rFonts w:ascii="宋体" w:hAnsi="宋体"/>
          <w:sz w:val="24"/>
        </w:rPr>
        <w:t xml:space="preserve">  </w:t>
      </w:r>
      <w:r>
        <w:rPr>
          <w:rFonts w:hint="eastAsia" w:ascii="宋体" w:hAnsi="宋体"/>
          <w:sz w:val="24"/>
        </w:rPr>
        <w:t>性别：</w:t>
      </w:r>
    </w:p>
    <w:p>
      <w:pPr>
        <w:adjustRightInd w:val="0"/>
        <w:snapToGrid w:val="0"/>
        <w:spacing w:line="480" w:lineRule="exact"/>
        <w:rPr>
          <w:rFonts w:ascii="宋体"/>
          <w:sz w:val="24"/>
          <w:u w:val="single"/>
        </w:rPr>
      </w:pPr>
      <w:r>
        <w:rPr>
          <w:rFonts w:hint="eastAsia" w:ascii="宋体" w:hAnsi="宋体"/>
          <w:sz w:val="24"/>
        </w:rPr>
        <w:t>身份证号码：</w:t>
      </w:r>
    </w:p>
    <w:p>
      <w:pPr>
        <w:adjustRightInd w:val="0"/>
        <w:snapToGrid w:val="0"/>
        <w:spacing w:line="300" w:lineRule="auto"/>
        <w:ind w:left="-88" w:leftChars="-42" w:firstLine="600" w:firstLineChars="250"/>
        <w:rPr>
          <w:rFonts w:ascii="宋体"/>
          <w:sz w:val="24"/>
          <w:u w:val="single"/>
        </w:rPr>
      </w:pPr>
    </w:p>
    <w:tbl>
      <w:tblPr>
        <w:tblStyle w:val="9"/>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ascii="宋体"/>
                <w:sz w:val="24"/>
              </w:rPr>
            </w:pPr>
            <w:r>
              <w:rPr>
                <w:rFonts w:hint="eastAsia" w:ascii="宋体" w:hAnsi="宋体"/>
                <w:sz w:val="24"/>
              </w:rPr>
              <w:t>粘贴法定代表人和被授权人《第二代居民身份证》复印件</w:t>
            </w:r>
          </w:p>
        </w:tc>
      </w:tr>
    </w:tbl>
    <w:p>
      <w:pPr>
        <w:spacing w:line="300" w:lineRule="auto"/>
        <w:rPr>
          <w:rFonts w:ascii="宋体"/>
        </w:rPr>
      </w:pPr>
    </w:p>
    <w:p>
      <w:pPr>
        <w:spacing w:line="300" w:lineRule="auto"/>
        <w:rPr>
          <w:rFonts w:ascii="宋体"/>
        </w:rPr>
      </w:pPr>
    </w:p>
    <w:p>
      <w:pPr>
        <w:ind w:left="4635"/>
        <w:rPr>
          <w:rFonts w:ascii="宋体"/>
          <w:sz w:val="24"/>
        </w:rPr>
      </w:pPr>
      <w:r>
        <w:rPr>
          <w:rFonts w:hint="eastAsia" w:ascii="宋体" w:hAnsi="宋体"/>
          <w:sz w:val="24"/>
        </w:rPr>
        <w:t>年月日</w:t>
      </w:r>
    </w:p>
    <w:p>
      <w:pPr>
        <w:spacing w:line="300" w:lineRule="auto"/>
        <w:rPr>
          <w:rFonts w:ascii="宋体"/>
        </w:rPr>
      </w:pPr>
    </w:p>
    <w:p>
      <w:pPr>
        <w:pStyle w:val="3"/>
        <w:rPr>
          <w:rFonts w:ascii="宋体"/>
          <w:sz w:val="32"/>
        </w:rPr>
      </w:pPr>
      <w:r>
        <w:rPr>
          <w:rFonts w:hint="eastAsia" w:ascii="宋体" w:hAnsi="宋体"/>
          <w:sz w:val="32"/>
          <w:lang w:val="en-US" w:eastAsia="zh-CN"/>
        </w:rPr>
        <w:t>六</w:t>
      </w:r>
      <w:r>
        <w:rPr>
          <w:rFonts w:hint="eastAsia" w:ascii="宋体" w:hAnsi="宋体"/>
          <w:sz w:val="32"/>
        </w:rPr>
        <w:t>、报</w:t>
      </w:r>
      <w:r>
        <w:rPr>
          <w:rFonts w:ascii="宋体" w:hAnsi="宋体"/>
          <w:sz w:val="32"/>
        </w:rPr>
        <w:t xml:space="preserve">  </w:t>
      </w:r>
      <w:r>
        <w:rPr>
          <w:rFonts w:hint="eastAsia" w:ascii="宋体" w:hAnsi="宋体"/>
          <w:sz w:val="32"/>
        </w:rPr>
        <w:t>价</w:t>
      </w:r>
      <w:r>
        <w:rPr>
          <w:rFonts w:ascii="宋体" w:hAnsi="宋体"/>
          <w:sz w:val="32"/>
        </w:rPr>
        <w:t xml:space="preserve">  </w:t>
      </w:r>
      <w:r>
        <w:rPr>
          <w:rFonts w:hint="eastAsia" w:ascii="宋体" w:hAnsi="宋体"/>
          <w:sz w:val="32"/>
        </w:rPr>
        <w:t>表</w:t>
      </w:r>
    </w:p>
    <w:p>
      <w:pPr>
        <w:tabs>
          <w:tab w:val="left" w:pos="1290"/>
        </w:tabs>
        <w:spacing w:line="460" w:lineRule="exact"/>
        <w:rPr>
          <w:rFonts w:ascii="宋体"/>
          <w:b/>
          <w:bCs/>
          <w:sz w:val="24"/>
        </w:rPr>
      </w:pPr>
      <w:r>
        <w:rPr>
          <w:rFonts w:hint="eastAsia" w:ascii="宋体" w:hAnsi="宋体"/>
          <w:b/>
          <w:bCs/>
          <w:sz w:val="24"/>
        </w:rPr>
        <w:t>项目名称：</w:t>
      </w:r>
    </w:p>
    <w:p>
      <w:pPr>
        <w:tabs>
          <w:tab w:val="left" w:pos="1290"/>
        </w:tabs>
        <w:spacing w:line="460" w:lineRule="exact"/>
        <w:rPr>
          <w:rFonts w:ascii="宋体"/>
          <w:b/>
          <w:bCs/>
          <w:sz w:val="24"/>
        </w:rPr>
      </w:pPr>
      <w:r>
        <w:rPr>
          <w:rFonts w:hint="eastAsia" w:ascii="宋体" w:hAnsi="宋体"/>
          <w:b/>
          <w:bCs/>
          <w:sz w:val="24"/>
        </w:rPr>
        <w:t>项目编号：</w:t>
      </w:r>
    </w:p>
    <w:p>
      <w:pPr>
        <w:pStyle w:val="6"/>
      </w:pPr>
    </w:p>
    <w:tbl>
      <w:tblPr>
        <w:tblStyle w:val="9"/>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tcPr>
          <w:p>
            <w:pPr>
              <w:tabs>
                <w:tab w:val="left" w:pos="1290"/>
              </w:tabs>
              <w:spacing w:line="460" w:lineRule="exact"/>
              <w:rPr>
                <w:rFonts w:ascii="宋体" w:cs="宋体"/>
                <w:sz w:val="30"/>
                <w:szCs w:val="30"/>
              </w:rPr>
            </w:pPr>
            <w:r>
              <w:rPr>
                <w:rFonts w:hint="eastAsia" w:ascii="宋体" w:hAnsi="宋体" w:cs="宋体"/>
                <w:sz w:val="30"/>
                <w:szCs w:val="30"/>
              </w:rPr>
              <w:t>序号</w:t>
            </w:r>
          </w:p>
        </w:tc>
        <w:tc>
          <w:tcPr>
            <w:tcW w:w="1501"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货物名称</w:t>
            </w:r>
          </w:p>
        </w:tc>
        <w:tc>
          <w:tcPr>
            <w:tcW w:w="1876"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品牌、规格型号</w:t>
            </w:r>
          </w:p>
        </w:tc>
        <w:tc>
          <w:tcPr>
            <w:tcW w:w="1001"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数量</w:t>
            </w:r>
          </w:p>
        </w:tc>
        <w:tc>
          <w:tcPr>
            <w:tcW w:w="921"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单位</w:t>
            </w:r>
          </w:p>
        </w:tc>
        <w:tc>
          <w:tcPr>
            <w:tcW w:w="1699"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报价（元）</w:t>
            </w:r>
          </w:p>
        </w:tc>
        <w:tc>
          <w:tcPr>
            <w:tcW w:w="865" w:type="dxa"/>
            <w:vAlign w:val="center"/>
          </w:tcPr>
          <w:p>
            <w:pPr>
              <w:tabs>
                <w:tab w:val="left" w:pos="1290"/>
              </w:tabs>
              <w:spacing w:line="460" w:lineRule="exact"/>
              <w:jc w:val="center"/>
              <w:rPr>
                <w:rFonts w:ascii="宋体" w:cs="宋体"/>
                <w:sz w:val="30"/>
                <w:szCs w:val="30"/>
              </w:rPr>
            </w:pPr>
            <w:r>
              <w:rPr>
                <w:rFonts w:hint="eastAsia" w:ascii="宋体" w:hAnsi="宋体" w:cs="宋体"/>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tcPr>
          <w:p>
            <w:pPr>
              <w:tabs>
                <w:tab w:val="left" w:pos="1290"/>
              </w:tabs>
              <w:spacing w:line="460" w:lineRule="exact"/>
              <w:rPr>
                <w:rFonts w:ascii="宋体" w:cs="宋体"/>
                <w:sz w:val="30"/>
                <w:szCs w:val="30"/>
              </w:rPr>
            </w:pPr>
            <w:r>
              <w:rPr>
                <w:rFonts w:ascii="宋体" w:hAnsi="宋体" w:cs="宋体"/>
                <w:sz w:val="30"/>
                <w:szCs w:val="30"/>
              </w:rPr>
              <w:t>1</w:t>
            </w:r>
          </w:p>
        </w:tc>
        <w:tc>
          <w:tcPr>
            <w:tcW w:w="1501" w:type="dxa"/>
          </w:tcPr>
          <w:p>
            <w:pPr>
              <w:tabs>
                <w:tab w:val="left" w:pos="1290"/>
              </w:tabs>
              <w:spacing w:line="460" w:lineRule="exact"/>
              <w:rPr>
                <w:rFonts w:ascii="宋体" w:cs="宋体"/>
                <w:b/>
                <w:bCs/>
                <w:sz w:val="30"/>
                <w:szCs w:val="30"/>
              </w:rPr>
            </w:pPr>
          </w:p>
        </w:tc>
        <w:tc>
          <w:tcPr>
            <w:tcW w:w="1876" w:type="dxa"/>
          </w:tcPr>
          <w:p>
            <w:pPr>
              <w:tabs>
                <w:tab w:val="left" w:pos="1290"/>
              </w:tabs>
              <w:spacing w:line="460" w:lineRule="exact"/>
              <w:rPr>
                <w:rFonts w:ascii="宋体" w:cs="宋体"/>
                <w:b/>
                <w:bCs/>
                <w:sz w:val="30"/>
                <w:szCs w:val="30"/>
              </w:rPr>
            </w:pPr>
          </w:p>
        </w:tc>
        <w:tc>
          <w:tcPr>
            <w:tcW w:w="1001" w:type="dxa"/>
          </w:tcPr>
          <w:p>
            <w:pPr>
              <w:tabs>
                <w:tab w:val="left" w:pos="1290"/>
              </w:tabs>
              <w:spacing w:line="460" w:lineRule="exact"/>
              <w:jc w:val="right"/>
              <w:rPr>
                <w:rFonts w:ascii="宋体" w:cs="宋体"/>
                <w:b/>
                <w:bCs/>
                <w:sz w:val="30"/>
                <w:szCs w:val="30"/>
              </w:rPr>
            </w:pPr>
          </w:p>
        </w:tc>
        <w:tc>
          <w:tcPr>
            <w:tcW w:w="921" w:type="dxa"/>
          </w:tcPr>
          <w:p>
            <w:pPr>
              <w:tabs>
                <w:tab w:val="left" w:pos="1290"/>
              </w:tabs>
              <w:spacing w:line="460" w:lineRule="exact"/>
              <w:rPr>
                <w:rFonts w:ascii="宋体" w:cs="宋体"/>
                <w:sz w:val="30"/>
                <w:szCs w:val="30"/>
              </w:rPr>
            </w:pPr>
          </w:p>
        </w:tc>
        <w:tc>
          <w:tcPr>
            <w:tcW w:w="1699" w:type="dxa"/>
          </w:tcPr>
          <w:p>
            <w:pPr>
              <w:tabs>
                <w:tab w:val="left" w:pos="1290"/>
              </w:tabs>
              <w:spacing w:line="460" w:lineRule="exact"/>
              <w:rPr>
                <w:rFonts w:ascii="宋体" w:cs="宋体"/>
                <w:sz w:val="30"/>
                <w:szCs w:val="30"/>
              </w:rPr>
            </w:pPr>
          </w:p>
        </w:tc>
        <w:tc>
          <w:tcPr>
            <w:tcW w:w="865" w:type="dxa"/>
          </w:tcPr>
          <w:p>
            <w:pPr>
              <w:tabs>
                <w:tab w:val="left" w:pos="1290"/>
              </w:tabs>
              <w:spacing w:line="460" w:lineRule="exact"/>
              <w:rPr>
                <w:rFonts w:asci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tcPr>
          <w:p>
            <w:pPr>
              <w:tabs>
                <w:tab w:val="left" w:pos="1290"/>
              </w:tabs>
              <w:spacing w:line="460" w:lineRule="exact"/>
              <w:rPr>
                <w:rFonts w:ascii="宋体" w:cs="宋体"/>
                <w:sz w:val="30"/>
                <w:szCs w:val="30"/>
              </w:rPr>
            </w:pPr>
            <w:r>
              <w:rPr>
                <w:rFonts w:ascii="宋体" w:hAnsi="宋体" w:cs="宋体"/>
                <w:sz w:val="30"/>
                <w:szCs w:val="30"/>
              </w:rPr>
              <w:t>2</w:t>
            </w:r>
          </w:p>
        </w:tc>
        <w:tc>
          <w:tcPr>
            <w:tcW w:w="1501" w:type="dxa"/>
            <w:vAlign w:val="center"/>
          </w:tcPr>
          <w:p>
            <w:pPr>
              <w:spacing w:line="360" w:lineRule="auto"/>
              <w:jc w:val="center"/>
              <w:rPr>
                <w:rFonts w:ascii="宋体" w:cs="宋体"/>
                <w:sz w:val="30"/>
                <w:szCs w:val="30"/>
              </w:rPr>
            </w:pPr>
          </w:p>
        </w:tc>
        <w:tc>
          <w:tcPr>
            <w:tcW w:w="1876" w:type="dxa"/>
            <w:vAlign w:val="center"/>
          </w:tcPr>
          <w:p>
            <w:pPr>
              <w:spacing w:line="360" w:lineRule="auto"/>
              <w:jc w:val="center"/>
              <w:rPr>
                <w:rFonts w:ascii="宋体" w:cs="宋体"/>
                <w:sz w:val="30"/>
                <w:szCs w:val="30"/>
              </w:rPr>
            </w:pPr>
          </w:p>
        </w:tc>
        <w:tc>
          <w:tcPr>
            <w:tcW w:w="1001" w:type="dxa"/>
          </w:tcPr>
          <w:p>
            <w:pPr>
              <w:tabs>
                <w:tab w:val="left" w:pos="1290"/>
              </w:tabs>
              <w:spacing w:line="460" w:lineRule="exact"/>
              <w:jc w:val="right"/>
              <w:rPr>
                <w:rFonts w:ascii="宋体" w:cs="宋体"/>
                <w:sz w:val="30"/>
                <w:szCs w:val="30"/>
              </w:rPr>
            </w:pPr>
          </w:p>
        </w:tc>
        <w:tc>
          <w:tcPr>
            <w:tcW w:w="921" w:type="dxa"/>
          </w:tcPr>
          <w:p>
            <w:pPr>
              <w:tabs>
                <w:tab w:val="left" w:pos="1290"/>
              </w:tabs>
              <w:spacing w:line="460" w:lineRule="exact"/>
              <w:rPr>
                <w:rFonts w:ascii="宋体" w:cs="宋体"/>
                <w:sz w:val="30"/>
                <w:szCs w:val="30"/>
              </w:rPr>
            </w:pPr>
          </w:p>
        </w:tc>
        <w:tc>
          <w:tcPr>
            <w:tcW w:w="1699" w:type="dxa"/>
          </w:tcPr>
          <w:p>
            <w:pPr>
              <w:tabs>
                <w:tab w:val="left" w:pos="1290"/>
              </w:tabs>
              <w:spacing w:line="460" w:lineRule="exact"/>
              <w:rPr>
                <w:rFonts w:ascii="宋体" w:cs="宋体"/>
                <w:sz w:val="30"/>
                <w:szCs w:val="30"/>
              </w:rPr>
            </w:pPr>
          </w:p>
        </w:tc>
        <w:tc>
          <w:tcPr>
            <w:tcW w:w="865" w:type="dxa"/>
          </w:tcPr>
          <w:p>
            <w:pPr>
              <w:tabs>
                <w:tab w:val="left" w:pos="1290"/>
              </w:tabs>
              <w:spacing w:line="460" w:lineRule="exact"/>
              <w:rPr>
                <w:rFonts w:asci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tcPr>
          <w:p>
            <w:pPr>
              <w:tabs>
                <w:tab w:val="left" w:pos="1290"/>
              </w:tabs>
              <w:spacing w:line="460" w:lineRule="exact"/>
              <w:rPr>
                <w:rFonts w:ascii="宋体" w:cs="宋体"/>
                <w:sz w:val="30"/>
                <w:szCs w:val="30"/>
              </w:rPr>
            </w:pPr>
            <w:r>
              <w:rPr>
                <w:rFonts w:ascii="宋体" w:hAnsi="宋体" w:cs="宋体"/>
                <w:sz w:val="30"/>
                <w:szCs w:val="30"/>
              </w:rPr>
              <w:t>...</w:t>
            </w:r>
          </w:p>
        </w:tc>
        <w:tc>
          <w:tcPr>
            <w:tcW w:w="1501" w:type="dxa"/>
            <w:vAlign w:val="center"/>
          </w:tcPr>
          <w:p>
            <w:pPr>
              <w:spacing w:line="360" w:lineRule="auto"/>
              <w:jc w:val="center"/>
              <w:rPr>
                <w:rFonts w:ascii="宋体" w:cs="宋体"/>
                <w:sz w:val="30"/>
                <w:szCs w:val="30"/>
              </w:rPr>
            </w:pPr>
            <w:r>
              <w:rPr>
                <w:rFonts w:ascii="宋体" w:hAnsi="宋体" w:cs="宋体"/>
                <w:sz w:val="30"/>
                <w:szCs w:val="30"/>
              </w:rPr>
              <w:t>...</w:t>
            </w:r>
          </w:p>
        </w:tc>
        <w:tc>
          <w:tcPr>
            <w:tcW w:w="1876" w:type="dxa"/>
            <w:vAlign w:val="center"/>
          </w:tcPr>
          <w:p>
            <w:pPr>
              <w:spacing w:line="360" w:lineRule="auto"/>
              <w:jc w:val="center"/>
              <w:rPr>
                <w:rFonts w:ascii="宋体" w:cs="宋体"/>
                <w:sz w:val="30"/>
                <w:szCs w:val="30"/>
              </w:rPr>
            </w:pPr>
            <w:r>
              <w:rPr>
                <w:rFonts w:ascii="宋体" w:hAnsi="宋体" w:cs="宋体"/>
                <w:sz w:val="30"/>
                <w:szCs w:val="30"/>
              </w:rPr>
              <w:t>...</w:t>
            </w:r>
          </w:p>
        </w:tc>
        <w:tc>
          <w:tcPr>
            <w:tcW w:w="1001" w:type="dxa"/>
          </w:tcPr>
          <w:p>
            <w:pPr>
              <w:tabs>
                <w:tab w:val="left" w:pos="1290"/>
              </w:tabs>
              <w:spacing w:line="460" w:lineRule="exact"/>
              <w:jc w:val="right"/>
              <w:rPr>
                <w:rFonts w:ascii="宋体" w:cs="宋体"/>
                <w:sz w:val="30"/>
                <w:szCs w:val="30"/>
              </w:rPr>
            </w:pPr>
            <w:r>
              <w:rPr>
                <w:rFonts w:ascii="宋体" w:hAnsi="宋体" w:cs="宋体"/>
                <w:sz w:val="30"/>
                <w:szCs w:val="30"/>
              </w:rPr>
              <w:t>...</w:t>
            </w:r>
          </w:p>
        </w:tc>
        <w:tc>
          <w:tcPr>
            <w:tcW w:w="921" w:type="dxa"/>
          </w:tcPr>
          <w:p>
            <w:pPr>
              <w:tabs>
                <w:tab w:val="left" w:pos="1290"/>
              </w:tabs>
              <w:spacing w:line="460" w:lineRule="exact"/>
              <w:rPr>
                <w:rFonts w:ascii="宋体" w:cs="宋体"/>
                <w:sz w:val="30"/>
                <w:szCs w:val="30"/>
              </w:rPr>
            </w:pPr>
            <w:r>
              <w:rPr>
                <w:rFonts w:ascii="宋体" w:hAnsi="宋体" w:cs="宋体"/>
                <w:sz w:val="30"/>
                <w:szCs w:val="30"/>
              </w:rPr>
              <w:t>...</w:t>
            </w:r>
          </w:p>
        </w:tc>
        <w:tc>
          <w:tcPr>
            <w:tcW w:w="1699" w:type="dxa"/>
          </w:tcPr>
          <w:p>
            <w:pPr>
              <w:tabs>
                <w:tab w:val="left" w:pos="1290"/>
              </w:tabs>
              <w:spacing w:line="460" w:lineRule="exact"/>
              <w:rPr>
                <w:rFonts w:ascii="宋体" w:cs="宋体"/>
                <w:sz w:val="30"/>
                <w:szCs w:val="30"/>
              </w:rPr>
            </w:pPr>
            <w:r>
              <w:rPr>
                <w:rFonts w:ascii="宋体" w:hAnsi="宋体" w:cs="宋体"/>
                <w:sz w:val="30"/>
                <w:szCs w:val="30"/>
              </w:rPr>
              <w:t>...</w:t>
            </w:r>
          </w:p>
        </w:tc>
        <w:tc>
          <w:tcPr>
            <w:tcW w:w="865" w:type="dxa"/>
          </w:tcPr>
          <w:p>
            <w:pPr>
              <w:tabs>
                <w:tab w:val="left" w:pos="1290"/>
              </w:tabs>
              <w:spacing w:line="460" w:lineRule="exact"/>
              <w:rPr>
                <w:rFonts w:asci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tcPr>
          <w:p>
            <w:pPr>
              <w:tabs>
                <w:tab w:val="left" w:pos="1290"/>
              </w:tabs>
              <w:spacing w:line="460" w:lineRule="exact"/>
              <w:jc w:val="right"/>
              <w:rPr>
                <w:rFonts w:ascii="宋体" w:cs="宋体"/>
                <w:sz w:val="30"/>
                <w:szCs w:val="30"/>
              </w:rPr>
            </w:pPr>
            <w:r>
              <w:rPr>
                <w:rFonts w:hint="eastAsia" w:ascii="宋体" w:hAnsi="宋体" w:cs="宋体"/>
                <w:sz w:val="30"/>
                <w:szCs w:val="30"/>
              </w:rPr>
              <w:t>合计：总报价（小写）：</w:t>
            </w:r>
          </w:p>
        </w:tc>
        <w:tc>
          <w:tcPr>
            <w:tcW w:w="3485" w:type="dxa"/>
            <w:gridSpan w:val="3"/>
          </w:tcPr>
          <w:p>
            <w:pPr>
              <w:tabs>
                <w:tab w:val="left" w:pos="1290"/>
              </w:tabs>
              <w:spacing w:line="460" w:lineRule="exact"/>
              <w:rPr>
                <w:rFonts w:ascii="宋体" w:cs="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tcPr>
          <w:p>
            <w:pPr>
              <w:tabs>
                <w:tab w:val="left" w:pos="1290"/>
              </w:tabs>
              <w:spacing w:line="460" w:lineRule="exact"/>
              <w:jc w:val="right"/>
              <w:rPr>
                <w:rFonts w:ascii="宋体" w:cs="宋体"/>
                <w:sz w:val="30"/>
                <w:szCs w:val="30"/>
              </w:rPr>
            </w:pPr>
            <w:r>
              <w:rPr>
                <w:rFonts w:hint="eastAsia" w:ascii="宋体" w:hAnsi="宋体" w:cs="宋体"/>
                <w:sz w:val="30"/>
                <w:szCs w:val="30"/>
              </w:rPr>
              <w:t>大写：</w:t>
            </w:r>
          </w:p>
        </w:tc>
        <w:tc>
          <w:tcPr>
            <w:tcW w:w="3485" w:type="dxa"/>
            <w:gridSpan w:val="3"/>
          </w:tcPr>
          <w:p>
            <w:pPr>
              <w:tabs>
                <w:tab w:val="left" w:pos="1290"/>
              </w:tabs>
              <w:spacing w:line="460" w:lineRule="exact"/>
              <w:rPr>
                <w:rFonts w:ascii="宋体" w:cs="宋体"/>
                <w:sz w:val="30"/>
                <w:szCs w:val="30"/>
              </w:rPr>
            </w:pPr>
          </w:p>
        </w:tc>
      </w:tr>
    </w:tbl>
    <w:p>
      <w:pPr>
        <w:tabs>
          <w:tab w:val="left" w:pos="1290"/>
        </w:tabs>
        <w:spacing w:line="460" w:lineRule="exact"/>
        <w:rPr>
          <w:rFonts w:ascii="宋体"/>
          <w:sz w:val="24"/>
          <w:u w:val="single"/>
        </w:rPr>
      </w:pPr>
    </w:p>
    <w:p>
      <w:pPr>
        <w:pStyle w:val="6"/>
      </w:pPr>
    </w:p>
    <w:p>
      <w:pPr>
        <w:pStyle w:val="6"/>
      </w:pPr>
    </w:p>
    <w:p>
      <w:pPr>
        <w:pStyle w:val="6"/>
      </w:pPr>
    </w:p>
    <w:p>
      <w:pPr>
        <w:tabs>
          <w:tab w:val="left" w:pos="1290"/>
        </w:tabs>
        <w:spacing w:line="460" w:lineRule="exact"/>
        <w:ind w:firstLine="307" w:firstLineChars="128"/>
        <w:rPr>
          <w:rFonts w:ascii="宋体"/>
          <w:sz w:val="24"/>
        </w:rPr>
      </w:pPr>
      <w:r>
        <w:rPr>
          <w:rFonts w:hint="eastAsia" w:ascii="宋体" w:hAnsi="宋体"/>
          <w:sz w:val="24"/>
        </w:rPr>
        <w:t>注</w:t>
      </w:r>
      <w:r>
        <w:rPr>
          <w:rFonts w:ascii="宋体" w:hAnsi="宋体"/>
          <w:sz w:val="24"/>
        </w:rPr>
        <w:t>: 1)</w:t>
      </w:r>
      <w:r>
        <w:rPr>
          <w:rFonts w:hint="eastAsia" w:ascii="宋体" w:hAnsi="宋体"/>
          <w:sz w:val="24"/>
        </w:rPr>
        <w:t>请供应商一次报出不得更改的价格。</w:t>
      </w:r>
    </w:p>
    <w:p>
      <w:pPr>
        <w:tabs>
          <w:tab w:val="left" w:pos="1290"/>
        </w:tabs>
        <w:spacing w:line="460" w:lineRule="exact"/>
        <w:ind w:firstLine="307" w:firstLineChars="128"/>
        <w:rPr>
          <w:rFonts w:ascii="宋体"/>
          <w:sz w:val="24"/>
        </w:rPr>
      </w:pPr>
      <w:r>
        <w:rPr>
          <w:rFonts w:ascii="宋体" w:hAnsi="宋体"/>
          <w:sz w:val="24"/>
        </w:rPr>
        <w:t xml:space="preserve"> 2)</w:t>
      </w:r>
      <w:r>
        <w:rPr>
          <w:rFonts w:hint="eastAsia" w:ascii="宋体" w:hAnsi="宋体"/>
          <w:sz w:val="24"/>
        </w:rPr>
        <w:t>本表中报价单位为人民币，单位为元，精确到个位数。</w:t>
      </w:r>
    </w:p>
    <w:p>
      <w:pPr>
        <w:tabs>
          <w:tab w:val="left" w:pos="1290"/>
        </w:tabs>
        <w:spacing w:line="460" w:lineRule="exact"/>
        <w:ind w:firstLine="307" w:firstLineChars="128"/>
        <w:rPr>
          <w:rFonts w:ascii="宋体"/>
          <w:sz w:val="24"/>
          <w:u w:val="single"/>
        </w:rPr>
      </w:pPr>
      <w:r>
        <w:rPr>
          <w:rFonts w:hint="eastAsia" w:ascii="宋体" w:hAnsi="宋体"/>
          <w:sz w:val="24"/>
        </w:rPr>
        <w:t>供应商名称：</w:t>
      </w:r>
      <w:r>
        <w:rPr>
          <w:rFonts w:ascii="宋体" w:hAnsi="宋体"/>
          <w:sz w:val="24"/>
        </w:rPr>
        <w:t xml:space="preserve">  </w:t>
      </w:r>
      <w:r>
        <w:rPr>
          <w:rFonts w:ascii="宋体" w:hAnsi="宋体"/>
          <w:sz w:val="24"/>
          <w:u w:val="single"/>
        </w:rPr>
        <w:t xml:space="preserve">  </w:t>
      </w:r>
      <w:r>
        <w:rPr>
          <w:rFonts w:hint="eastAsia" w:ascii="宋体" w:hAnsi="宋体"/>
          <w:sz w:val="24"/>
          <w:u w:val="single"/>
        </w:rPr>
        <w:t>（签章）</w:t>
      </w:r>
      <w:r>
        <w:rPr>
          <w:rFonts w:ascii="宋体" w:hAnsi="宋体"/>
          <w:sz w:val="24"/>
          <w:u w:val="single"/>
        </w:rPr>
        <w:t xml:space="preserve">            </w:t>
      </w:r>
    </w:p>
    <w:p>
      <w:pPr>
        <w:tabs>
          <w:tab w:val="left" w:pos="1290"/>
        </w:tabs>
        <w:spacing w:line="460" w:lineRule="exact"/>
        <w:ind w:firstLine="307" w:firstLineChars="128"/>
        <w:rPr>
          <w:rFonts w:ascii="宋体" w:cs="宋体"/>
          <w:b/>
          <w:bCs/>
          <w:sz w:val="24"/>
        </w:rPr>
      </w:pPr>
      <w:r>
        <w:rPr>
          <w:rFonts w:hint="eastAsia" w:ascii="宋体" w:hAnsi="宋体"/>
          <w:sz w:val="24"/>
        </w:rPr>
        <w:t>报价时间：</w:t>
      </w:r>
      <w:r>
        <w:rPr>
          <w:rFonts w:ascii="宋体" w:hAnsi="宋体"/>
          <w:sz w:val="24"/>
        </w:rPr>
        <w:t xml:space="preserve"> </w:t>
      </w:r>
      <w:r>
        <w:rPr>
          <w:rFonts w:ascii="宋体" w:hAnsi="宋体"/>
          <w:sz w:val="24"/>
          <w:u w:val="single"/>
        </w:rPr>
        <w:t>2020</w:t>
      </w:r>
      <w:r>
        <w:rPr>
          <w:rFonts w:hint="eastAsia" w:ascii="宋体" w:hAnsi="宋体"/>
          <w:sz w:val="24"/>
        </w:rPr>
        <w:t>年月日</w:t>
      </w:r>
    </w:p>
    <w:p>
      <w:pPr>
        <w:spacing w:line="300" w:lineRule="auto"/>
        <w:rPr>
          <w:rFonts w:ascii="宋体"/>
        </w:rPr>
      </w:pPr>
    </w:p>
    <w:p>
      <w:pPr>
        <w:spacing w:line="300" w:lineRule="auto"/>
        <w:rPr>
          <w:rFonts w:ascii="宋体"/>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sz w:val="24"/>
        </w:rPr>
      </w:pPr>
    </w:p>
    <w:p>
      <w:pPr>
        <w:widowControl/>
        <w:jc w:val="left"/>
        <w:rPr>
          <w:rFonts w:ascii="宋体" w:cs="宋体"/>
          <w:b/>
          <w:bCs/>
          <w:kern w:val="0"/>
          <w:sz w:val="32"/>
          <w:szCs w:val="32"/>
        </w:rPr>
      </w:pPr>
      <w:r>
        <w:rPr>
          <w:rFonts w:hint="eastAsia" w:ascii="宋体" w:hAnsi="宋体" w:cs="宋体"/>
          <w:b/>
          <w:bCs/>
          <w:sz w:val="32"/>
          <w:szCs w:val="32"/>
          <w:lang w:val="en-US" w:eastAsia="zh-CN"/>
        </w:rPr>
        <w:t>七</w:t>
      </w:r>
      <w:bookmarkStart w:id="1" w:name="_GoBack"/>
      <w:bookmarkEnd w:id="1"/>
      <w:r>
        <w:rPr>
          <w:rFonts w:hint="eastAsia" w:ascii="宋体" w:hAnsi="宋体" w:cs="宋体"/>
          <w:b/>
          <w:bCs/>
          <w:sz w:val="32"/>
          <w:szCs w:val="32"/>
        </w:rPr>
        <w:t>、营业执照副本复印件</w:t>
      </w:r>
    </w:p>
    <w:p>
      <w:pPr>
        <w:pStyle w:val="8"/>
        <w:spacing w:before="0" w:beforeAutospacing="0" w:after="0" w:afterAutospacing="0"/>
        <w:jc w:val="both"/>
      </w:pPr>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8550"/>
    <w:multiLevelType w:val="singleLevel"/>
    <w:tmpl w:val="13B98550"/>
    <w:lvl w:ilvl="0" w:tentative="0">
      <w:start w:val="1"/>
      <w:numFmt w:val="chineseCounting"/>
      <w:suff w:val="nothing"/>
      <w:lvlText w:val="（%1）"/>
      <w:lvlJc w:val="left"/>
      <w:rPr>
        <w:rFonts w:hint="eastAsia" w:cs="Times New Roman"/>
      </w:rPr>
    </w:lvl>
  </w:abstractNum>
  <w:abstractNum w:abstractNumId="1">
    <w:nsid w:val="2005E71D"/>
    <w:multiLevelType w:val="singleLevel"/>
    <w:tmpl w:val="2005E71D"/>
    <w:lvl w:ilvl="0" w:tentative="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003497E"/>
    <w:rsid w:val="0003704C"/>
    <w:rsid w:val="001631F0"/>
    <w:rsid w:val="00696EC6"/>
    <w:rsid w:val="007058E3"/>
    <w:rsid w:val="007A5EEC"/>
    <w:rsid w:val="00DD655D"/>
    <w:rsid w:val="00DF1F43"/>
    <w:rsid w:val="00EC6BCB"/>
    <w:rsid w:val="00F5552F"/>
    <w:rsid w:val="01033222"/>
    <w:rsid w:val="012C702F"/>
    <w:rsid w:val="036F3B11"/>
    <w:rsid w:val="04122245"/>
    <w:rsid w:val="047354A0"/>
    <w:rsid w:val="06F0742C"/>
    <w:rsid w:val="09A21AD8"/>
    <w:rsid w:val="0A4254B4"/>
    <w:rsid w:val="112B0E90"/>
    <w:rsid w:val="13F71D8A"/>
    <w:rsid w:val="1722544C"/>
    <w:rsid w:val="18037AAB"/>
    <w:rsid w:val="19B923C6"/>
    <w:rsid w:val="1CB94805"/>
    <w:rsid w:val="1CF65930"/>
    <w:rsid w:val="1DD4755B"/>
    <w:rsid w:val="20AA1B56"/>
    <w:rsid w:val="20F82D82"/>
    <w:rsid w:val="213F6201"/>
    <w:rsid w:val="21662A18"/>
    <w:rsid w:val="225835AD"/>
    <w:rsid w:val="250825DF"/>
    <w:rsid w:val="256D2FB3"/>
    <w:rsid w:val="26DD5B1C"/>
    <w:rsid w:val="26E928C0"/>
    <w:rsid w:val="27720A57"/>
    <w:rsid w:val="28486D84"/>
    <w:rsid w:val="285A3750"/>
    <w:rsid w:val="292C1377"/>
    <w:rsid w:val="2A051E27"/>
    <w:rsid w:val="2B445ED5"/>
    <w:rsid w:val="2B571037"/>
    <w:rsid w:val="329577CD"/>
    <w:rsid w:val="3331120A"/>
    <w:rsid w:val="34794218"/>
    <w:rsid w:val="3DBD37E2"/>
    <w:rsid w:val="45146557"/>
    <w:rsid w:val="45FA4378"/>
    <w:rsid w:val="496B2D3F"/>
    <w:rsid w:val="4A7F4C5B"/>
    <w:rsid w:val="4C74075C"/>
    <w:rsid w:val="4EA71848"/>
    <w:rsid w:val="4EFD1CE8"/>
    <w:rsid w:val="531203CC"/>
    <w:rsid w:val="5E2D3C06"/>
    <w:rsid w:val="5E9B094F"/>
    <w:rsid w:val="60530CA4"/>
    <w:rsid w:val="63AA1D79"/>
    <w:rsid w:val="683B6F92"/>
    <w:rsid w:val="68FE228D"/>
    <w:rsid w:val="69835AA6"/>
    <w:rsid w:val="6D535020"/>
    <w:rsid w:val="6D811D17"/>
    <w:rsid w:val="6DDC30DC"/>
    <w:rsid w:val="70E07BE9"/>
    <w:rsid w:val="757F037F"/>
    <w:rsid w:val="75943852"/>
    <w:rsid w:val="774D0CC9"/>
    <w:rsid w:val="78CB21D4"/>
    <w:rsid w:val="78D97FC5"/>
    <w:rsid w:val="7AFE23DE"/>
    <w:rsid w:val="7CCB6A94"/>
    <w:rsid w:val="7E4D77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6" w:lineRule="auto"/>
      <w:jc w:val="left"/>
      <w:outlineLvl w:val="1"/>
    </w:pPr>
    <w:rPr>
      <w:rFonts w:ascii="Arial" w:hAnsi="Arial"/>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4"/>
    <w:qFormat/>
    <w:uiPriority w:val="99"/>
    <w:pPr>
      <w:jc w:val="left"/>
    </w:pPr>
    <w:rPr>
      <w:rFonts w:ascii="Tahoma" w:hAnsi="Tahoma"/>
    </w:rPr>
  </w:style>
  <w:style w:type="paragraph" w:styleId="5">
    <w:name w:val="Body Text"/>
    <w:basedOn w:val="1"/>
    <w:link w:val="15"/>
    <w:qFormat/>
    <w:uiPriority w:val="99"/>
    <w:pPr>
      <w:spacing w:before="38"/>
      <w:ind w:left="310"/>
    </w:pPr>
    <w:rPr>
      <w:rFonts w:ascii="宋体" w:hAnsi="宋体"/>
      <w:sz w:val="20"/>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99"/>
    <w:rPr>
      <w:rFonts w:cs="Times New Roman"/>
    </w:rPr>
  </w:style>
  <w:style w:type="character" w:customStyle="1" w:styleId="12">
    <w:name w:val="标题 1 Char"/>
    <w:basedOn w:val="10"/>
    <w:link w:val="2"/>
    <w:qFormat/>
    <w:uiPriority w:val="9"/>
    <w:rPr>
      <w:rFonts w:ascii="Calibri" w:hAnsi="Calibri"/>
      <w:b/>
      <w:bCs/>
      <w:kern w:val="44"/>
      <w:sz w:val="44"/>
      <w:szCs w:val="44"/>
    </w:rPr>
  </w:style>
  <w:style w:type="character" w:customStyle="1" w:styleId="13">
    <w:name w:val="标题 2 Char"/>
    <w:basedOn w:val="10"/>
    <w:link w:val="3"/>
    <w:semiHidden/>
    <w:qFormat/>
    <w:uiPriority w:val="9"/>
    <w:rPr>
      <w:rFonts w:asciiTheme="majorHAnsi" w:hAnsiTheme="majorHAnsi" w:eastAsiaTheme="majorEastAsia" w:cstheme="majorBidi"/>
      <w:b/>
      <w:bCs/>
      <w:sz w:val="32"/>
      <w:szCs w:val="32"/>
    </w:rPr>
  </w:style>
  <w:style w:type="character" w:customStyle="1" w:styleId="14">
    <w:name w:val="批注文字 Char"/>
    <w:basedOn w:val="10"/>
    <w:link w:val="4"/>
    <w:semiHidden/>
    <w:qFormat/>
    <w:uiPriority w:val="99"/>
    <w:rPr>
      <w:rFonts w:ascii="Calibri" w:hAnsi="Calibri"/>
    </w:rPr>
  </w:style>
  <w:style w:type="character" w:customStyle="1" w:styleId="15">
    <w:name w:val="正文文本 Char"/>
    <w:basedOn w:val="10"/>
    <w:link w:val="5"/>
    <w:semiHidden/>
    <w:qFormat/>
    <w:uiPriority w:val="99"/>
    <w:rPr>
      <w:rFonts w:ascii="Calibri" w:hAnsi="Calibri"/>
    </w:rPr>
  </w:style>
  <w:style w:type="character" w:customStyle="1" w:styleId="16">
    <w:name w:val="页脚 Char"/>
    <w:basedOn w:val="10"/>
    <w:link w:val="6"/>
    <w:semiHidden/>
    <w:qFormat/>
    <w:uiPriority w:val="99"/>
    <w:rPr>
      <w:rFonts w:ascii="Calibri" w:hAnsi="Calibri"/>
      <w:sz w:val="18"/>
      <w:szCs w:val="18"/>
    </w:rPr>
  </w:style>
  <w:style w:type="character" w:customStyle="1" w:styleId="17">
    <w:name w:val="页眉 Char"/>
    <w:basedOn w:val="10"/>
    <w:link w:val="7"/>
    <w:semiHidden/>
    <w:qFormat/>
    <w:uiPriority w:val="99"/>
    <w:rPr>
      <w:rFonts w:ascii="Calibri" w:hAnsi="Calibri"/>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7</Pages>
  <Words>479</Words>
  <Characters>2736</Characters>
  <Lines>22</Lines>
  <Paragraphs>6</Paragraphs>
  <TotalTime>7</TotalTime>
  <ScaleCrop>false</ScaleCrop>
  <LinksUpToDate>false</LinksUpToDate>
  <CharactersWithSpaces>3209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WPS_1599527005</cp:lastModifiedBy>
  <cp:lastPrinted>2020-11-11T00:04:00Z</cp:lastPrinted>
  <dcterms:modified xsi:type="dcterms:W3CDTF">2020-11-11T08:06:00Z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